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168 /</w:t>
      </w:r>
      <w:r>
        <w:rPr>
          <w:b/>
          <w:color w:val="000000"/>
          <w:lang w:val="es-AR" w:eastAsia="es-AR" w:bidi="es-AR"/>
        </w:rPr>
        <w:t xml:space="preserve">2020</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1081/1088</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12 de noviembre de </w:t>
      </w:r>
      <w:r>
        <w:rPr>
          <w:color w:val="000000"/>
          <w:lang w:val="es-AR" w:eastAsia="es-AR" w:bidi="es-AR"/>
        </w:rPr>
        <w:t xml:space="preserve">2020</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4040-20</w:t>
      </w:r>
      <w:r>
        <w:rPr>
          <w:lang w:val="es-AR" w:eastAsia="es-AR" w:bidi="es-AR"/>
        </w:rPr>
        <w:t xml:space="preserve"> caratulada </w:t>
      </w:r>
      <w:r>
        <w:rPr>
          <w:b/>
          <w:lang w:val="es-AR" w:eastAsia="es-AR" w:bidi="es-AR"/>
        </w:rPr>
        <w:t xml:space="preserve">"</w:t>
      </w:r>
      <w:r>
        <w:rPr>
          <w:b/>
          <w:color w:val="000000"/>
          <w:lang w:val="es-AR" w:eastAsia="es-AR" w:bidi="es-AR"/>
        </w:rPr>
        <w:t xml:space="preserve">SANTORO LUIS SANTIAGO  C/ BANCO DE GALICIA Y BUENOS AIRES S.A. S/ ACCION DE RESTITUCION</w:t>
      </w:r>
      <w:r>
        <w:rPr>
          <w:b/>
          <w:lang w:val="es-AR" w:eastAsia="es-AR" w:bidi="es-AR"/>
        </w:rPr>
        <w:t xml:space="preserve">"</w:t>
      </w:r>
      <w:r>
        <w:rPr>
          <w:lang w:val="es-AR" w:eastAsia="es-AR" w:bidi="es-AR"/>
        </w:rPr>
        <w:t xml:space="preserve">, Expte. N° </w:t>
      </w:r>
      <w:r>
        <w:rPr>
          <w:color w:val="000000"/>
          <w:lang w:val="es-AR" w:eastAsia="es-AR" w:bidi="es-AR"/>
        </w:rPr>
        <w:t xml:space="preserve">84.001  </w:t>
      </w:r>
      <w:r>
        <w:rPr>
          <w:lang w:val="es-AR" w:eastAsia="es-AR" w:bidi="es-AR"/>
        </w:rPr>
        <w:t xml:space="preserve">del </w:t>
      </w:r>
      <w:r>
        <w:rPr>
          <w:color w:val="000000"/>
          <w:lang w:val="es-AR" w:eastAsia="es-AR" w:bidi="es-AR"/>
        </w:rPr>
        <w:t xml:space="preserve">Juzgado en lo Civil y Comercial N° 2</w:t>
      </w:r>
      <w:r>
        <w:rPr>
          <w:lang w:val="es-AR" w:eastAsia="es-AR" w:bidi="es-AR"/>
        </w:rPr>
        <w:t xml:space="preserve">, se practicó el sorteo de ley que determinó que la votación debía efectuarse en el siguiente orden: Graciela Scaraffia, Roberto Degleue (ausente en uso de licencia médica) y Bernardo Louise,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 </w:t>
      </w:r>
    </w:p>
    <w:p>
      <w:pPr>
        <w:pStyle w:val="[Normal]"/>
        <w:spacing w:line="360" w:lineRule="auto"/>
        <w:ind w:firstLine="1134"/>
        <w:jc w:val="both"/>
        <w:rPr>
          <w:b/>
          <w:color w:val="000000"/>
          <w:lang w:val="es-AR" w:eastAsia="es-AR" w:bidi="es-AR"/>
        </w:rPr>
      </w:pPr>
      <w:r>
        <w:rPr>
          <w:lang w:val="es-AR" w:eastAsia="es-AR" w:bidi="es-AR"/>
        </w:rPr>
        <w:t xml:space="preserve">La Sra. Jueza de la anterior instancia re</w:t>
      </w:r>
      <w:r>
        <w:rPr>
          <w:color w:val="000000"/>
          <w:lang w:val="es-AR" w:eastAsia="es-AR" w:bidi="es-AR"/>
        </w:rPr>
        <w:t xml:space="preserve">chazó la demanda de nulidad del contrato de prenda deducido por el actor Luis Santiago Santoro contra el Banco de Galicia y Buenos Aires S.A..  Hizo lugar al pedido de rendición de cuentas deducido por el actor, ordenó que el Banco de Galicia y Buenos Aires S.A., en el término de 10 días, practicara la rendición correspondiente y determinara el saldo remanente del precio obtenido en la subasta del automotor dominio GXF 085,  acompañando la documentación que justifique cada partida, conforme lo indicado en el Considerando IV.</w:t>
      </w:r>
      <w:r>
        <w:rPr>
          <w:b/>
          <w:color w:val="000000"/>
          <w:lang w:val="es-AR" w:eastAsia="es-AR" w:bidi="es-AR"/>
        </w:rPr>
        <w:t xml:space="preserve">  </w:t>
      </w:r>
    </w:p>
    <w:p>
      <w:pPr>
        <w:pStyle w:val="[Normal]"/>
        <w:spacing w:line="360" w:lineRule="auto"/>
        <w:ind w:firstLine="1134"/>
        <w:jc w:val="both"/>
        <w:rPr>
          <w:color w:val="000000"/>
          <w:lang w:val="es-AR" w:eastAsia="es-AR" w:bidi="es-AR"/>
        </w:rPr>
      </w:pPr>
      <w:r>
        <w:rPr>
          <w:color w:val="000000"/>
          <w:lang w:val="es-AR" w:eastAsia="es-AR" w:bidi="es-AR"/>
        </w:rPr>
        <w:t xml:space="preserve">Oportunamente, una vez aprobadas las cuentas y determinado el saldo el remanente a favor del accionante,  el Banco de Galicia y Buenos Aires, procederá a su cancelación, abonándolo en el termino de 10 días, con más  un interés del 58,70% anual, desde la fecha de la subasta (22/05/2018) hasta la del efectivo pago.  Las costas se impusieron en el orden causado, atento al modo de resolver la cuestión. (art. 71 del CPCC).  Difirió la regulación de honorarios hasta tanto se agreguen las pautas pertinentes (art. 51 Ley 14.967).</w:t>
      </w:r>
    </w:p>
    <w:p>
      <w:pPr>
        <w:pStyle w:val="[Normal]"/>
        <w:spacing w:line="360" w:lineRule="auto"/>
        <w:ind w:firstLine="1134"/>
        <w:jc w:val="both"/>
        <w:rPr>
          <w:lang w:val="es-AR" w:eastAsia="es-AR" w:bidi="es-AR"/>
        </w:rPr>
      </w:pPr>
      <w:r>
        <w:rPr>
          <w:lang w:val="es-AR" w:eastAsia="es-AR" w:bidi="es-AR"/>
        </w:rPr>
        <w:t xml:space="preserve">Tal decisorio fue objeto de los recursos de apelación por  la parte actora mediante el escrito electrónico de fecha 10/08/2020 y de la demandada el 14/08/2020, concedidos libremente y con efecto suspensivo el día 18/08/2020 respectivamente.  El 14/08/2020 los demandados desisten del recurso de apelación.   Con fecha 15/09/2020 se ordenó el traslado del fundamento de la actora a la  parte demandada, el que fue evacuado con el escrito electrónico de fecha 18/09/2020.  Con fecha 25/09/2020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Por presentación electrónica del día 13/8/2020, la parte actora interpuso recurso de apelación, presentando el memorial que lo fundamenta con fecha 9/9/2020. Del tenor del escrito de referencia, es posible inferir los siguientes puntos fundamentales de agravio: 1) la errónea subsunción del caso bajo las normas del derecho civil excluyendo la aplicación preferente de la ley 24.240 en cuanto norma especial, toda vez que el contrato de prenda constituyó una operación de crédito para el consumo que justifica la aplicación de la régimen jurídico del consumidor, 2) La no consideración del incumplimiento del deber de información en la sentencia apelada, 3) La convalidación de la cláusula del contrato de prenda que supedita el préstamo a la adquisición de un seguro en contra de la previsión normativa del art. 1099 del CCyC, 4) La sustracción de todo efecto jurídico a la rebeldía de la parte demandada.	</w:t>
      </w:r>
    </w:p>
    <w:p>
      <w:pPr>
        <w:pStyle w:val="[Normal]"/>
        <w:spacing w:line="360" w:lineRule="auto"/>
        <w:ind w:firstLine="1134"/>
        <w:jc w:val="both"/>
        <w:rPr>
          <w:lang w:val="es-AR" w:eastAsia="es-AR" w:bidi="es-AR"/>
        </w:rPr>
      </w:pPr>
      <w:r>
        <w:rPr>
          <w:lang w:val="es-AR" w:eastAsia="es-AR" w:bidi="es-AR"/>
        </w:rPr>
        <w:t xml:space="preserve">Entrando a resolver, la primera cuestión a determinar ha de ser entonces el encuadramiento normativo de la relación jurídica sustancial controvertida. Y en concreto, si corresponde aplicar en la especie la legislación consumeril.	</w:t>
      </w:r>
    </w:p>
    <w:p>
      <w:pPr>
        <w:pStyle w:val="[Normal]"/>
        <w:spacing w:line="360" w:lineRule="auto"/>
        <w:ind w:firstLine="1134"/>
        <w:jc w:val="both"/>
        <w:rPr>
          <w:lang w:val="es-AR" w:eastAsia="es-AR" w:bidi="es-AR"/>
        </w:rPr>
      </w:pPr>
      <w:r>
        <w:rPr>
          <w:lang w:val="es-AR" w:eastAsia="es-AR" w:bidi="es-AR"/>
        </w:rPr>
        <w:t xml:space="preserve">1) En aras de precisar este aspecto, es menester señalar en primer término que el ámbito de aplicación del régimen de protección al consumidor está supeditado a la verificación previa y positiva de su ámbito de aplicación. Esto es: la presencia de un consumidor y de un proveedor como polos subjetivos del vínculo jurídico que resulta objeto del litigio.	</w:t>
      </w:r>
    </w:p>
    <w:p>
      <w:pPr>
        <w:pStyle w:val="[Normal]"/>
        <w:spacing w:line="360" w:lineRule="auto"/>
        <w:ind w:firstLine="1134"/>
        <w:jc w:val="both"/>
        <w:rPr>
          <w:lang w:val="es-AR" w:eastAsia="es-AR" w:bidi="es-AR"/>
        </w:rPr>
      </w:pPr>
      <w:r>
        <w:rPr>
          <w:lang w:val="es-AR" w:eastAsia="es-AR" w:bidi="es-AR"/>
        </w:rPr>
        <w:t xml:space="preserve">Al respecto, cabe precisar que el consumidor es la persona humana o jurídica que adquiere o utiliza, en forma gratuita u onerosa, bienes o servicios como destinatario final, en beneficio propio o de su grupo familiar o social (cfr. art. 1092 del Código Civil y Comercial; art. 1° de la ley 24.240, según ley 26.994 que unificó el concepto en ambos textos: arts 1093 a 1095 CCCN). Como señala el Dr. Carlos Hernández, el concepto de consumidor ha adquirido una centralidad relevante para establecer la existencia o no de una relación de consumo, presupuesto que permite determinar el acceso al sistema normativo protectorio (cfr. Hernández, Carlos A. “Tratado de derecho del consumidor”, Gabriel Stiglitz y Carlos A. Hernández (Dir.), Ed. La Ley, Bs. As., 2015, pág. 416; Santarelli, Fulvio G. “Ley de Defensa del Consumidor”, Picasso-Vázquez Ferreyra (Directores), Tomo I, Ed. La Ley, Buenos Aires 2009, pág. 30). 	</w:t>
      </w:r>
    </w:p>
    <w:p>
      <w:pPr>
        <w:pStyle w:val="[Normal]"/>
        <w:spacing w:line="360" w:lineRule="auto"/>
        <w:ind w:firstLine="1134"/>
        <w:jc w:val="both"/>
        <w:rPr>
          <w:lang w:val="es-AR" w:eastAsia="es-AR" w:bidi="es-AR"/>
        </w:rPr>
      </w:pPr>
      <w:r>
        <w:rPr>
          <w:lang w:val="es-AR" w:eastAsia="es-AR" w:bidi="es-AR"/>
        </w:rPr>
        <w:t xml:space="preserve">De manera que como regla general: </w:t>
      </w:r>
      <w:r>
        <w:rPr>
          <w:i/>
          <w:lang w:val="es-AR" w:eastAsia="es-AR" w:bidi="es-AR"/>
        </w:rPr>
        <w:t xml:space="preserve">“…consumidor final es quien adquiere bienes o servicios sin intención de obtener una ganancia por su posterior enajenación, ni de emplearlos en un proceso de producción o comercialización de bienes o servicios destinados al mercado…”</w:t>
      </w:r>
      <w:r>
        <w:rPr>
          <w:lang w:val="es-AR" w:eastAsia="es-AR" w:bidi="es-AR"/>
        </w:rPr>
        <w:t xml:space="preserve"> (Farina, Juan M. “Defensa del consumidor y del usuario”, Ed. Astrea, 2004, pág. 45 y ss) (esta Sala, causa nro. 61.713, del 21/3/17 “Banco de la Provincia de Buenos Aires c/ Marrero”).</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En este sentido, advierto que el accionante de autos asumió la referida condición. Es que con base en la prueba ofrecida (copia simple de recibo de haber que se adjunte en la demanda) surge que el actor se desempeñó hasta fines de 2017 como empleado en relación de dependencia de la firma AGROFERT S.A. De donde es dable inferir que al momento de vincularse contractualmente no llevaba adelante un emprendimiento propio o independiente al cual pudiese integrar el vehículo que le fuera entregado sino que trabajaba bajo relación de dependencia, circunstancia que avala el carácter final de la adquisición.	</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A ello cabe agregar que estas circunstancias fueron afirmadas por la actora en el escrito de inicio y, atento a los efectos de la rebeldía que fuera declarada en providencia de fecha </w:t>
      </w:r>
      <w:r>
        <w:rPr>
          <w:color w:val="000000"/>
          <w:lang w:val="es-AR" w:eastAsia="es-AR" w:bidi="es-AR"/>
        </w:rPr>
        <w:t xml:space="preserve">17 de Julio de 2019 y a la inexistencia de prueba en contrario, cabe presumir la veracidad de las aseveraciones del actor (art. 59 del CPCC). A saber, que dicho</w:t>
      </w:r>
      <w:r>
        <w:rPr>
          <w:lang w:val="es-AR" w:eastAsia="es-AR" w:bidi="es-AR"/>
        </w:rPr>
        <w:t xml:space="preserve"> vehículo fue adquirido por su parte para satisfacer necesidades personales y familiares de traslado y transportes, lo cual no fue discutido por la parte demandada, lo cual confirma la calificación precedente. 	</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En el otro polo de la relación se encuentra el proveedor, cuya noción es amplia en nuestro ordenamiento (arts. 2 de la LDC, art. 1093 del Cód. Civ. y Com.; Hernández, Carlos A. “Relación de consumo” en “Tratado de derecho del consumidor” Gabriel Stiglitz y Carlos A. Hernández (Directores), Tomo I, Ed. La Ley 2015, págs. 425 y sgtes.). 	</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En oportunidad de comentar el art. 1093 del Cód. Civ. y Com., Wajntraub apunta que la norma </w:t>
      </w:r>
      <w:r>
        <w:rPr>
          <w:i/>
          <w:lang w:val="es-AR" w:eastAsia="es-AR" w:bidi="es-AR"/>
        </w:rPr>
        <w:t xml:space="preserve">“no sólo hace referencia a quienes resulten ser personas físicas o jurídicas que actúen profesionalmente o empresas productoras de bienes o prestadoras de servicios, de naturaleza pública o privada, sino también se señala a todo aquél que obre aun ‘ocasionalmente’, siempre que tengan por objeto la adquisición, uso o goce de los bienes o servicios por parte de consumidores  o usuarios, para su uso privado, familiar o social. Es decir que lo que determinará que un oferente sea calificado como proveedor será definido con el foco puesto en el destinatario, que deberá ser un consumidor o usuario” </w:t>
      </w:r>
      <w:r>
        <w:rPr>
          <w:lang w:val="es-AR" w:eastAsia="es-AR" w:bidi="es-AR"/>
        </w:rPr>
        <w:t xml:space="preserve">(Wajntraub, Javier “Código Civil y Comercial de la Nación”, Ricardo Luis Lorenzetti (Dir.), Tomo VI, Ed. Rubinzal-Culzoni 2015, pág. 236) (esta Sala, causa nro. 62.269, del 10/8/17 “Blanco…”).	</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En el presente caso, tanto el vendedor del vehículo, la empresa otorgante del crédito, la firma MICRO LENDING S.A, CUIT: 30-70774983-7</w:t>
      </w:r>
      <w:r>
        <w:rPr>
          <w:rStyle w:val="EM"/>
          <w:b/>
          <w:lang w:val="es-AR" w:eastAsia="es-AR" w:bidi="es-AR"/>
        </w:rPr>
        <w:t xml:space="preserve"> </w:t>
      </w:r>
      <w:r>
        <w:rPr>
          <w:lang w:val="es-AR" w:eastAsia="es-AR" w:bidi="es-AR"/>
        </w:rPr>
        <w:t xml:space="preserve">en su carácter de empresa de servicios financieros como el Banco Galicia y Buenos Aires como entidad cesionaria del contrato de prende revistieron el carácter de </w:t>
      </w:r>
      <w:r>
        <w:rPr>
          <w:rStyle w:val="STRONG"/>
          <w:b w:val="off"/>
          <w:lang w:val="es-AR" w:eastAsia="es-AR" w:bidi="es-AR"/>
        </w:rPr>
        <w:t xml:space="preserve">proveedoras</w:t>
      </w:r>
      <w:r>
        <w:rPr>
          <w:lang w:val="es-AR" w:eastAsia="es-AR" w:bidi="es-AR"/>
        </w:rPr>
        <w:t xml:space="preserve"> en los términos del art. 2 de la Ley 24.240 por cuanto se trata de personas físicas y jurídicas que desarrollan de manera profesional actividades de comercialización de bienes y servicios y, en ese marco funcional, fue que se trabó la relación jurídica con la actora. 	</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De modo que en este punto asiste razón a la parte apelante al sostener que independientemente de que el crédito de dinero se haya instrumentado con una garantía real como la prenda, ello no le quita su naturaleza de crédito de dinero que tiene como contraprestación intereses compensatorios. En efecto, estamos ante aquí ante una relación de consumo integrada o compleja que mediante la articulación de una red contractual enlaza distintas modalidades negociales (compraventa de vehículo, mutuo financiero, contratación de seguro, cesión de posición contractual). Conforme ha sido caracterizado por el nuevo Código Civil y Comercial en su art. 1073, </w:t>
      </w:r>
      <w:r>
        <w:rPr>
          <w:i/>
          <w:lang w:val="es-AR" w:eastAsia="es-AR" w:bidi="es-AR"/>
        </w:rPr>
        <w:t xml:space="preserve">"hay conexidad cuando dos o más contratos autónomos se hallan vinculados entre sí por una finalidad económica común previamente establecida, de modo que uno de ellos ha sido determinante del otro para el logro del resultado perseguido y esta finalidad puede ser establecida por la ley, expresamente pactada, o derivada de la interpretación"</w:t>
      </w:r>
      <w:r>
        <w:rPr>
          <w:lang w:val="es-AR" w:eastAsia="es-AR" w:bidi="es-AR"/>
        </w:rPr>
        <w:t xml:space="preserve">.</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En suma, este complejo contractual conexo trasunta una operación de crédito para consumo, razón por la cual resulta aquí aplicable no sólo la ley 24.240 sino además el art. 36 de la citada normativa en cuanto disposición que regula específicamente esta operatoria consumeril.</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2) Aclarada la cuestión relativa al derecho aplicable, corresponde considerar ahora si en la especie se ha omitido cumplir con el deber de información correspondiente a este tipo de contrataciones. </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De la confrontación de los requisitos informativos del art. 36 de la ley 24.240 y el instrumento negocial a través del cual se documentó la operación de crédito -ver contrato de prenda con registro digitalmente adjunto como prueba documental en el escrito de demanda- puede observarse que el documento contractual no cumple con la totalidad de los requisitos informativos detallados en la disposición aludida. Por ejemplo, no especifica el total de los intereses a pagar y el costo financiero total.</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rStyle w:val="EM"/>
          <w:i w:val="off"/>
          <w:lang w:val="es-AR" w:eastAsia="es-AR" w:bidi="es-AR"/>
        </w:rPr>
      </w:pPr>
      <w:r>
        <w:rPr>
          <w:rStyle w:val="EM"/>
          <w:i w:val="off"/>
          <w:lang w:val="es-AR" w:eastAsia="es-AR" w:bidi="es-AR"/>
        </w:rPr>
        <w:t xml:space="preserve">Ante esta constatación, cabe preguntarse cuál es la consecuencia reactiva del ordenamiento jurídico frente al mentado incumplimiento. 	</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rStyle w:val="EM"/>
          <w:lang w:val="es-AR" w:eastAsia="es-AR" w:bidi="es-AR"/>
        </w:rPr>
      </w:pPr>
      <w:r>
        <w:rPr>
          <w:rStyle w:val="EM"/>
          <w:i w:val="off"/>
          <w:lang w:val="es-AR" w:eastAsia="es-AR" w:bidi="es-AR"/>
        </w:rPr>
        <w:t xml:space="preserve">El propio artículo 36 de la ley 24.240 nos proporciona una respuesta expresa y categórica: "</w:t>
      </w:r>
      <w:r>
        <w:rPr>
          <w:rStyle w:val="EM"/>
          <w:lang w:val="es-AR" w:eastAsia="es-AR" w:bidi="es-AR"/>
        </w:rPr>
        <w:t xml:space="preserve">Cuando el proveedor omitiera incluir alguno de estos datos en el documento que corresponda, el consumidor tendrá derecho a demandar la nulidad del contrato o de una o más cláusulas. Cuando el juez declare la nulidad parcial simultáneamente integrará el contrato, si ello fuera necesario".</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Ahora bien, frente a la radicalidad del texto legal, cabe formularse los siguientes interrogantes: ¿La sanción legal prevista en la norma consumeril debe aplicarse ante la simple constatación de la inadecuación objetiva entre el contrato de préstamo para consumo y el estándar de información exigido por el art. 36? ¿El derecho a pretender la nulidad del contrato puede ejercerse incondicionalmente en tales supuestos? ¿La conducta de la víctima es a todas luces irrelevante en orden a la determinación de las consecuencias del incumplimiento? ¿Debe equipararse el incumplimiento absoluto del deber de información con un cumplimiento defectuoso o parcial?</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En este sentido, entiendo que la facultad de solicitar la nulidad del contrato por incumplimiento del deber de información, como toda prerrogativa jurídica, debe ejercerse dentro de los límites del ordenamiento jurídico. Entre los parámetros regulatorios del ejercicio de derechos se hallan la buena fe (art. 9 del CCyC), el ejercicio abusivo de derecho (art. 10 del CCyC), la razonabilidad (art. 389 del CCyC), etc.	</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color w:val="000000"/>
          <w:lang w:val="es-AR" w:eastAsia="es-AR" w:bidi="es-AR"/>
        </w:rPr>
      </w:pPr>
      <w:r>
        <w:rPr>
          <w:lang w:val="es-AR" w:eastAsia="es-AR" w:bidi="es-AR"/>
        </w:rPr>
        <w:t xml:space="preserve">En lo que incumbe a la resolución del caso, resulta relevante señalar que en la sentencia apelada la Jueza de grado tuvo por cierto que </w:t>
      </w:r>
      <w:r>
        <w:rPr>
          <w:color w:val="000000"/>
          <w:lang w:val="es-AR" w:eastAsia="es-AR" w:bidi="es-AR"/>
        </w:rPr>
        <w:t xml:space="preserve">el contrato de prenda se cumplió pagando durante 11 meses sin que se alterara el sinalagma, hasta que el actor dejó de cumplir por razones de índole particular -pérdida del empleo-.</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color w:val="000000"/>
          <w:lang w:val="es-AR" w:eastAsia="es-AR" w:bidi="es-AR"/>
        </w:rPr>
        <w:t xml:space="preserve">La aserción transcripta en esta parcela de la sentencia de grado no sólo no ha sido apelada por la parte recurrente quedando en consecuencia consentida por ésta, sino que además se corresponde con lo que el propio accionante afirmara en su escrito de demanda. Del tenor de sus postulaciones iniciales surge que el actor atribuye la causa del incumplimiento a razones de índole particular:  </w:t>
      </w:r>
      <w:r>
        <w:rPr>
          <w:i/>
          <w:lang w:val="es-AR" w:eastAsia="es-AR" w:bidi="es-AR"/>
        </w:rPr>
        <w:t xml:space="preserve">"contexto económico difícil y a la situación de haber sido despedido de mi trabajo"</w:t>
      </w:r>
      <w:r>
        <w:rPr>
          <w:lang w:val="es-AR" w:eastAsia="es-AR" w:bidi="es-AR"/>
        </w:rPr>
        <w:t xml:space="preserve">.</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Hete aquí el punto fáctico a partir del cual advierto que en el sub-lite se ha verificado un ejercicio antifuncional de la facultad de solicitar la declaración de nulidad del contrato de prenda, habida cuenta de que en tanto el desarrollo del vínculo contractual fue económicamente viable para el actor éste consintió expresa y tácitamente las condiciones del contrato, se benefició de sus efectos (utilización del automóvil que le fuera entregado con anterioridad a la cancelación total del precio) y observó una conducta respetuosa del itinerario contractual (pago 11 cuotas mensuales en forma consecutiva e ininterrumpida). Y repentinamente cuando como consecuencia de un empeoramiento de su situación económica por causa no imputable a la parte proveedora, éste se vio imposibilitado de seguir cumpliendo con las obligaciones contraídas, decidió ejercer la pretensión nulificante del contrato de prenda, valiéndose de está como mecanismo de eyección de una relación contractual que se le había tornado gravosa en razón de circunstancias ajenas al sinalagma contractual.</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Entiendo que la conducta obrada por el actor transgrede la regla de interdicción del ejercicio abusivo de derechos, toda vez que la finalidad técnica del deber de información agravado previsto en el art. 36 de la ley 24.240 apunta a garantizar la plenitud del discernimiento del consumidor respecto a las características generales particulares de la operatoria y, en consecuencia, a generar condiciones subjetivas adecuadas para otorgar un consentimiento válido y posibilitar un ejercicio regular de sus derechos en el marco de la relación de consumo. En tanto que la finalidad que ha guiado al accionante en la especie estuvo enderezada a eximirse de las obligaciones contraídas en razón de dificultades financieras sobrevinientes de índole particular que no se hallan en relación causal adecuada con el mentado incumplimiento.</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Sobre esta tónica, la Suprema Corte de Justicia de la Provincia de Buenos Aires ha confirmado la señalada finalidad del deber de información: </w:t>
      </w:r>
      <w:r>
        <w:rPr>
          <w:i/>
          <w:lang w:val="es-AR" w:eastAsia="es-AR" w:bidi="es-AR"/>
        </w:rPr>
        <w:t xml:space="preserve">“La información exigida por la ley 24.240 debe tener aptitud para colocar al co-contratante en una situación de discernimiento en el aspecto técnico ventilado en el negocio“ </w:t>
      </w:r>
      <w:r>
        <w:rPr>
          <w:lang w:val="es-AR" w:eastAsia="es-AR" w:bidi="es-AR"/>
        </w:rPr>
        <w:t xml:space="preserve">(SCBA LP C 102100 S 17/09/2008 Juez HITTERS (SD) Carátula: Lucero, Osvaldo Walter s/Amparo B30054 JUBA). SCBA LP B 65834 I 07/03/2007 Juez RONCORONI (MA): “DE.U.CO. Defensa de Usuarios y Consumidores Asoc. Civil c/ Org. Regulador de Aguas Bonaerense y Aguas del Gran Bs. As. s/Amparo-Cuestión de competencia art. 6° CCA”. (Por mayoría), B94035 JUBA). </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En efecto, la facultad del consumidor para pedir la declaración de nulidad del contrato de prenda debe estar orientada a suplir o neutralizar su situación de inferioridad cognoscitiva y no a ser utilizada impropiamente como un mecanismo invalidante del contrato cuando en virtud de circunstancias particulares y ajenas al vínculo negocial a éste ya no le resulta económicamente conveniente o posible seguir honrando los compromisos asumidos.</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No es ocioso clarificar el concepto base. Abusa de los derechos quien por acción o por omisión y dentro de los límites externos de su derecho, lesiona el contenido esencial del mismo, es decir, subvierte el fin de bien común, (sea éste individual o social), por el que le fue reconocido y causa un daño injustificado .  Ya lo ha dicho Louis Josserand: </w:t>
      </w:r>
      <w:r>
        <w:rPr>
          <w:i/>
          <w:lang w:val="es-AR" w:eastAsia="es-AR" w:bidi="es-AR"/>
        </w:rPr>
        <w:t xml:space="preserve">"... Los derechos tienen una misión social que cumplir, contra la cual no pueden rebelarse; no se bastan a sí mismos, no llevan en sí mismos su finalidad, sino que ésta los desborda al mismo tiempo que los justifica; cada uno de ellos tiene su razón de ser, su espíritu, del cual no podrían separarse..."</w:t>
      </w:r>
      <w:r>
        <w:rPr>
          <w:lang w:val="es-AR" w:eastAsia="es-AR" w:bidi="es-AR"/>
        </w:rPr>
        <w:t xml:space="preserve">  (JOSSERAND, Louis, Derecho Civil, Tomo 2, Volumen I, Ediciones Jurídicas Europa-América, Bosch y cía. Editores Buenos Aires, pág. 226).	</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La jurisprudencia ha sostenido reiteradamente que: </w:t>
      </w:r>
      <w:r>
        <w:rPr>
          <w:i/>
          <w:lang w:val="es-AR" w:eastAsia="es-AR" w:bidi="es-AR"/>
        </w:rPr>
        <w:t xml:space="preserve">"en el estado actual de nuestra cultura no se conciben los derechos subjetivos (públicos o privados),  de carácter incondicional, esto es, sin limitación o sin más acotación que la soberana voluntad de su titular", o, "no hay derechos autónomos en el sentido que agoten su contenido en sí mismos, sino que todos encuentran su razón de ser o su finalidad, fuera del ámbito de su propia definición..." </w:t>
      </w:r>
      <w:r>
        <w:rPr>
          <w:lang w:val="es-AR" w:eastAsia="es-AR" w:bidi="es-AR"/>
        </w:rPr>
        <w:t xml:space="preserve"> (cf. T.S.J. de Córdoba, Sala Civ. y Com., 30/5/91, "Bisjo de Gotusso c. Zurbriggen", LA LEY Córdoba, 1991-772, citado por Aída Kemelmajer en Revista de Derecho Privado y Comunitario, t. 16, p. 211, Rubinzal-Culzoni Editores, Santa Fe, 1998)..</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El segundo párrafo del artículo 10 del CCyC precisa el sentido y alcance del instituto: </w:t>
      </w:r>
      <w:r>
        <w:rPr>
          <w:i/>
          <w:lang w:val="es-AR" w:eastAsia="es-AR" w:bidi="es-AR"/>
        </w:rPr>
        <w:t xml:space="preserve">"La ley no ampara el ejercicio abusivo de los derechos. Se considera tal el que contraría los fines del ordenamiento jurídico o el que excede los límites impuestos por la buena fe, la moral y las buenas costumbres"</w:t>
      </w:r>
      <w:r>
        <w:rPr>
          <w:lang w:val="es-AR" w:eastAsia="es-AR" w:bidi="es-AR"/>
        </w:rPr>
        <w:t xml:space="preserve">. En este aspecto, el derecho argentino se enrola en la concepción objetiva del abuso del derecho, según la cual el abuso del derecho (y, por derivación, el procesal y cautelar) no exigen la concurrencia de culpa o dolo, sino tan sólo la desviación de un instituto de sus fines técnicos específicos  (Cf. MOREA, Adrián Oscar, La doctrina del abuso procesal en el derecho argentino. Publicado en Editorial Infojus, Id SAIJ: DACF120195).</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En esta tónica, la Sala 5 de la Cámara Civil y Comercial de Córdoba afirmó que: </w:t>
      </w:r>
      <w:r>
        <w:rPr>
          <w:i/>
          <w:lang w:val="es-AR" w:eastAsia="es-AR" w:bidi="es-AR"/>
        </w:rPr>
        <w:t xml:space="preserve">"el abuso del derecho constituye la instrumentación normativa de un principio general que inspira el sistema legislativo, afirma la preeminencia de la regla moral y tiene aplicación en todo los ámbitos del ordenamiento, en planos funcionales y éticos"</w:t>
      </w:r>
      <w:r>
        <w:rPr>
          <w:lang w:val="es-AR" w:eastAsia="es-AR" w:bidi="es-AR"/>
        </w:rPr>
        <w:t xml:space="preserve"> (T.S.J. de Córdoba, Sala Civ. y Com., 30/5/91, "Bisjo de Gotusso c. Zurbriggen", LA LEY Córdoba, 1991-772, citado por Aída Kemelmajer en Revista de Derecho Privado y Comunitario, t. 16, p. 211, Rubinzal-Culzoni Editores, Santa Fe, 1998). 	</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Complementariamente, considero que el comportamiento observado por el accionante tampoco resulta indiferente a la teoría de los actos propios. Es que no cabe duda de la grave contradicción que existió entre su conducta precedente y la pretensión que luego vino a ejercer. En efecto, su proceder inicial y contemporáneo al vínculo contractual fue respetuoso e incluso interesado en la buena marcha del negocio contraído generando la razonable expectativa de conformidad en la demandada no sólo respecto al compromiso originariamente asumido sino a la forma en que se iba desenvolvimiento el curso del negocio. Y tras casi un año después de haberse desarrollado el vínculo de referencia en los términos acordados, el consumidor se presenta súbitamente como afectado por una desinformación imputada a la parte proveedora con el fin de ser relevado de sus obligaciones atento a las dificultades económicas que atraviesa.</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Tal proceder encuentra un límite infranqueable en el principio de buena fe (art. 9 del C.C.yC.) a partir del cual se funda la doctrina de los actos propios cuya lógica determina que: </w:t>
      </w:r>
      <w:r>
        <w:rPr>
          <w:i/>
          <w:lang w:val="es-AR" w:eastAsia="es-AR" w:bidi="es-AR"/>
        </w:rPr>
        <w:t xml:space="preserve">"Nadie puede ponerse en contradicción con sus propios actos, ejerciendo una conducta incompatible con una anterior deliberada, jurídicamente relevante y plenamente eficaz"</w:t>
      </w:r>
      <w:r>
        <w:rPr>
          <w:lang w:val="es-AR" w:eastAsia="es-AR" w:bidi="es-AR"/>
        </w:rPr>
        <w:t xml:space="preserve"> (v. SCBA, "Carpinetti, Raúl Jorge c/Fisco de la Prov. de Buenos Aires s/Daños y perjuicios", 17/06/1993). La consecuencia sistémica que deriva de ello es la desestimación del motivo de queja esgrimido en violación al mentado principio (conf. CAP causas Nº 1962. RSD 84/2013 del 26-8-14, Nº 1426 RSD 181/2012 del 14/8-2014, N° 2959 del 20-12-2018 RSD 199/2018, entre otras).-</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El derecho del consumidor, aún cuando resulte la fuente jurídica de aplicación preferente al caso en virtud del orden de prelación legal (art. 963 del CCyC), no puede evadirse de la función controlante de los principios jurídicos como criterio de corrección axiológica de las relaciones jurídicas, máxime cuando el art. 3 de la ley 24.240 dispone una </w:t>
      </w:r>
      <w:r>
        <w:rPr>
          <w:i/>
          <w:lang w:val="es-AR" w:eastAsia="es-AR" w:bidi="es-AR"/>
        </w:rPr>
        <w:t xml:space="preserve">"heterointegración normativa"  </w:t>
      </w:r>
      <w:r>
        <w:rPr>
          <w:lang w:val="es-AR" w:eastAsia="es-AR" w:bidi="es-AR"/>
        </w:rPr>
        <w:t xml:space="preserve">entre la legislación consumeril y las demás fuentes jurídicas generales y específicas que forman parte del ordenamiento jurídico.</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Las consideraciones precedentes adquieren mayor fuerza argumental no bien se advierte que el incumplimiento del deber de información no fue absoluto, total ni esencial. En rigor, del contrato de prenda acompañado se desprende el capital prestado, la cantidad de cuotas a abonar, su carácter consecutivo, el monto de éstas, la tasa de interés aplicable, la cargos pasivos adicionales por IVA y seguro, etc. Si bien es cierto que no se especifican conceptos tales como el monto financiero total, tampoco puede soslayarse que es posible arribar a este numeral mediante la sumatoria de los conceptos pasivos que se hallan en cabeza del tomador del préstamo. Aún cuando ello no exime </w:t>
      </w:r>
      <w:r>
        <w:rPr>
          <w:i/>
          <w:lang w:val="es-AR" w:eastAsia="es-AR" w:bidi="es-AR"/>
        </w:rPr>
        <w:t xml:space="preserve">per se</w:t>
      </w:r>
      <w:r>
        <w:rPr>
          <w:lang w:val="es-AR" w:eastAsia="es-AR" w:bidi="es-AR"/>
        </w:rPr>
        <w:t xml:space="preserve"> de responsabilidad a la parte proveedora por el déficit informativo, se convierte no obstante en una circunstancia relevante para ponderar el carácter abusivo del ejercicio de la pretensión nulificante articulada por la actora.	</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En un reciente fallo, la Sala II de la Cámara de Apelaciones en lo Civil y Comercial de Azul sostuvo que </w:t>
      </w:r>
      <w:r>
        <w:rPr>
          <w:i/>
          <w:lang w:val="es-AR" w:eastAsia="es-AR" w:bidi="es-AR"/>
        </w:rPr>
        <w:t xml:space="preserve">"cuando la información brindada en cumplimiento con lo dispuesto por el art. 36 resulte de algún modo defectuosa, oscura o insuficiente, ello no inhabilite sin más la vía ejecutiva para su reclamo"</w:t>
      </w:r>
      <w:r>
        <w:rPr>
          <w:lang w:val="es-AR" w:eastAsia="es-AR" w:bidi="es-AR"/>
        </w:rPr>
        <w:t xml:space="preserve"> (Cámara de Apelaciones en lo Civil y Comercial de Azul, Sala II,  "Alarfin Sa C/ Rojas Pablo Alfredo S/ Ejecucion Prendaria ", (Causa Nº 1-65205-2019).	</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Entiendo que el criterio jurisprudencial expuesto es aplicable por vía de extensión analógica (art. 2 de la CCyC) al juicio de conocimiento. Es que, independientemente de cuál sea el cause procesal a través del cual se ventile la cuestión, la asimilación plena entre el incumplimiento absoluto y el cumplimiento defectuoso del deber de información (sobre todo, cuando los aspectos oscuros pueden ser clarificados a partir de los demás datos aportados en el contrato) implicaría una transgresión al principio de proporcionalidad de la sanción como expresión específica del principio de razonabilidad (art. 1, 14, 28, 33, 75 inc. 22 de la CN y art. 389 del CCyC) toda vez que se le estaría aplicando la misma consecuencia adversa a dos conductas que presentan una gravedad cualitativamente diferente.</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Asimismo, e íntimamente relacionado con lo anterior, resta indicar que en la especie no se ha verificado el principio de trascendencia que rige en materia de nulidades conforme al cual es menester que la forma incumplida (en el caso, requisitos informativos omitidos -art. 36 de la LDC) derive en un perjuicio para la parte que invoca la nulidad. Es que teniendo en cuenta que la actora cumplió el contrato durante 11 meses con normalidad -tal como se afirmó en la demanda, se tuvo por cierto en la sentencia de grado (no apelada en este específico aspecto fáctico) y surge de la respuesta otorgada por la perito María Luján Vergara en escrito electrónico de fecha 29/5/2020 de la cual se desprende que el Sr. Santoro utilizó diferentes medios de pagos para abonar esas cuotas, entre ellos Pago Fácil y Pagomiscuentas hasta la cuota 11-, que no se ha acreditado que en ese lapso de tiempo la actora hubiera dirigido reclamo o pedido de aclaraciones a la demandada sobre cuestiones relativas al operatoria de crédito, que la denuncia del incumplimiento del deber de información no estuvo basada en la real afectación de su discernimiento para obligarse válidamente sino más bien en la necesidad de invalidar un acuerdo que se había tornado gravoso para la parte tomadora del crédito en virtud de circunstancias económicas particulares ajenas a la ecuación contractual, advierto que en el caso concreto no medió relación razonable entre el vicio informativo alegado y el perjuicio que acusa la accionante. Y por ende, se evidencia la ausencia del requisito de trascendencia en tanto condición necesaria para la declaración de nulidad.</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Al respecto, este Tribunal ha dicho que: </w:t>
      </w:r>
      <w:r>
        <w:rPr>
          <w:i/>
          <w:lang w:val="es-AR" w:eastAsia="es-AR" w:bidi="es-AR"/>
        </w:rPr>
        <w:t xml:space="preserve">"La declaración de nulidad requiere la demostración de perjuicio, es decir que emerja un derecho que no pudo ejercerse y de qué modo dicha imposibilidad es generadora de algún gravamen.(doctr. arts. 169 últ. párr. y 172 CPCC)"</w:t>
      </w:r>
      <w:r>
        <w:rPr>
          <w:lang w:val="es-AR" w:eastAsia="es-AR" w:bidi="es-AR"/>
        </w:rPr>
        <w:t xml:space="preserve"> (Cámara de Apelaciones en lo Civil y Comercial de Pergamino, autos N° </w:t>
      </w:r>
      <w:r>
        <w:rPr>
          <w:color w:val="000000"/>
          <w:lang w:val="es-AR" w:eastAsia="es-AR" w:bidi="es-AR"/>
        </w:rPr>
        <w:t xml:space="preserve">2444- 15</w:t>
      </w:r>
      <w:r>
        <w:rPr>
          <w:lang w:val="es-AR" w:eastAsia="es-AR" w:bidi="es-AR"/>
        </w:rPr>
        <w:t xml:space="preserve">   caratulados "</w:t>
      </w:r>
      <w:r>
        <w:rPr>
          <w:color w:val="000000"/>
          <w:lang w:val="es-AR" w:eastAsia="es-AR" w:bidi="es-AR"/>
        </w:rPr>
        <w:t xml:space="preserve">Incidente De Apelación En Autos: "Cuzzani, Laura Patricia - C/ Michelangelo, Fernando Daniel - S/ Incidente De Alimentos"</w:t>
      </w:r>
      <w:r>
        <w:rPr>
          <w:lang w:val="es-AR" w:eastAsia="es-AR" w:bidi="es-AR"/>
        </w:rPr>
        <w:t xml:space="preserve">,  17 de Noviembre de 2015).	</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Por último, considero que la tesis que aquí propicio no circunscribe los requisitos del art. 36 de la LDC al pagaré de consumo, sino que los predica respecto a cualquier operación de crédito que cae bajo la órbita del derecho del consumidor. Más de ello no puede seguirse que la judicatura esté obligada a convalidar cualquier forma de ejercitar la pretensión invalidante del contrato financiero con base en la citada disposición. Como he señalado anteriormente, el ejercicio de los derechos subjetivos tiene límites jurídicos específicos (los que derivan de las normas jurídicas positivas que los regulan de modo expreso) y genéricos (los que resultan de los principios jurídicos que integran el orden jurídico). En la especie, se han verificado circunstancias fácticas particulares que me llevan a sostener que el derecho a la información del actor ha sido ejercido en forma abusiva, es decir en forma contraria a los fines que el legislador ha tenido en mira al consagrar esta prerrogativa. Y tal aserción, lejos de anular el radio de eficacia del derecho reconocido por la ley consumeril, lo encauza y enmarca de acuerdo a su específica teleología.</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3) El agravio relativo a la convalidación de la cláusula del contrato de prenda que supedita el préstamo a la adquisición de un seguro en contra de la previsión normativa del art. 1099 del CCyC debe desestimarse por análogas razones a las expuestas en el punto 2.</w:t>
      </w:r>
    </w:p>
    <w:p>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ind w:firstLine="1134"/>
        <w:jc w:val="both"/>
        <w:rPr>
          <w:lang w:val="es-AR" w:eastAsia="es-AR" w:bidi="es-AR"/>
        </w:rPr>
      </w:pPr>
      <w:r>
        <w:rPr>
          <w:lang w:val="es-AR" w:eastAsia="es-AR" w:bidi="es-AR"/>
        </w:rPr>
        <w:t xml:space="preserve">4) En punto a la última crítica vertida según la cual la sentencia atacada habría sustraído de todo efecto jurídico a la rebeldía de la parte demandada, entiendo que no corresponde receptar la misma.	</w:t>
      </w:r>
    </w:p>
    <w:p>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ind w:firstLine="1134"/>
        <w:jc w:val="both"/>
        <w:rPr>
          <w:lang w:val="es-AR" w:eastAsia="es-AR" w:bidi="es-AR"/>
        </w:rPr>
      </w:pPr>
      <w:r>
        <w:rPr>
          <w:lang w:val="es-AR" w:eastAsia="es-AR" w:bidi="es-AR"/>
        </w:rPr>
        <w:t xml:space="preserve">Estimo que la queja formulada no resulta cierta ni exacta. Ello obedece a que el efecto de la declaración de rebeldía no se proyecta sobre el derecho, sino sobre los hechos en cuanto genera una presunción de verdad respecto a los presupuestos fácticos afirmados en la demanda. En la especie, la improcedencia de la pretensión actoral, más que fundarse en una discrepancia respecto a los extremos fácticos de la pretensión deducida, se ha basado más bien en una interpretación jurídica diferente respecto al incumplimiento de las obligaciones de las partes y el alcance de la responsabilidad derivada de la referida inobservancia. Ello determina que la mayor o menor eficacia que se le atribuye a la declaración de rebeldía no incida en la suerte del fallo.	</w:t>
      </w:r>
    </w:p>
    <w:p>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ind w:firstLine="1134"/>
        <w:jc w:val="both"/>
        <w:rPr>
          <w:lang w:val="es-AR" w:eastAsia="es-AR" w:bidi="es-AR"/>
        </w:rPr>
      </w:pPr>
      <w:r>
        <w:rPr>
          <w:lang w:val="es-AR" w:eastAsia="es-AR" w:bidi="es-AR"/>
        </w:rPr>
        <w:t xml:space="preserve">Por otra parte, en el presente voto he valorado la rebeldía de la parte demandada por cuanto he considerado dicha circunstancia procesal como una razón coadyuvante para tener por probado el carácter de consumidor de la parte actora. A tal efecto, remito a lo expresado en el punto 1.	</w:t>
      </w:r>
    </w:p>
    <w:p>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ind w:firstLine="1134"/>
        <w:jc w:val="both"/>
        <w:rPr>
          <w:lang w:val="es-AR" w:eastAsia="es-AR" w:bidi="es-AR"/>
        </w:rPr>
      </w:pPr>
      <w:r>
        <w:rPr>
          <w:lang w:val="es-AR" w:eastAsia="es-AR" w:bidi="es-AR"/>
        </w:rPr>
        <w:t xml:space="preserve">Sin perjuicio de ello, cabe tener presente que este Tribunal ha dicho reiteradamente que no es suficiente por sí sola para que el juez admita la verdad de los hechos afirmativos por quien obtuvo la declaración, porque la sentencia debe pronunciarse sobre el mérito de la causa, es decir efectuando una correcta valoración de los hechos,  circunstancias y también las pruebas (cf. art. 384 del CPCC, doctrina y autos  N° </w:t>
      </w:r>
      <w:r>
        <w:rPr>
          <w:lang w:val="es-AR" w:eastAsia="es-AR" w:bidi="es-AR"/>
        </w:rPr>
        <w:t xml:space="preserve">1353-12</w:t>
      </w:r>
      <w:r>
        <w:rPr>
          <w:lang w:val="es-AR" w:eastAsia="es-AR" w:bidi="es-AR"/>
        </w:rPr>
        <w:t xml:space="preserve">    caratulados  "</w:t>
      </w:r>
      <w:r>
        <w:rPr>
          <w:lang w:val="es-AR" w:eastAsia="es-AR" w:bidi="es-AR"/>
        </w:rPr>
        <w:t xml:space="preserve">Guardia, Alejandro C/ Toneatti, Armando Y Otros S/ Daños Y Perjuicios</w:t>
      </w:r>
      <w:r>
        <w:rPr>
          <w:lang w:val="es-AR" w:eastAsia="es-AR" w:bidi="es-AR"/>
        </w:rPr>
        <w:t xml:space="preserve">" , 2012.</w:t>
      </w:r>
    </w:p>
    <w:p>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ind w:firstLine="1134"/>
        <w:jc w:val="both"/>
        <w:rPr>
          <w:lang w:val="es-AR" w:eastAsia="es-AR" w:bidi="es-AR"/>
        </w:rPr>
      </w:pPr>
      <w:r>
        <w:rPr>
          <w:lang w:val="es-AR" w:eastAsia="es-AR" w:bidi="es-AR"/>
        </w:rPr>
        <w:t xml:space="preserve">La condición procesal del rebelde no importa de por sí la suerte favorable de la acción intentada convirtiendo al juzgador en un autómata que debe dictar sentencia en tal sentido. Para que juegue la presunción legal, las afirmaciones contenidas en el escrito de demanda no han de ser desvirtuadas por las pruebas. Y deben resultar debidamente precisadas y acreditadas las condiciones de la acción especialmente "la calidad o sea la identidad, de la persona del actor, del demandado así como también el objeto sobre el que recae la acción.</w:t>
      </w:r>
    </w:p>
    <w:p>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ind w:firstLine="1134"/>
        <w:jc w:val="both"/>
        <w:rPr>
          <w:lang w:val="es-AR" w:eastAsia="es-AR" w:bidi="es-AR"/>
        </w:rPr>
      </w:pPr>
      <w:r>
        <w:rPr>
          <w:lang w:val="es-AR" w:eastAsia="es-AR" w:bidi="es-AR"/>
        </w:rPr>
        <w:t xml:space="preserve">A mayor abundamiento la SCBA ha sostenido que </w:t>
      </w:r>
      <w:r>
        <w:rPr>
          <w:i/>
          <w:lang w:val="es-AR" w:eastAsia="es-AR" w:bidi="es-AR"/>
        </w:rPr>
        <w:t xml:space="preserve">"La declaración de rebeldía sólo crea una presunción a favor del actor de la veracidad de los hechos lícitos y pertinentes que constan en la demanda, pero no tiene por sí el efecto de que la misma sea procedente"</w:t>
      </w:r>
      <w:r>
        <w:rPr>
          <w:lang w:val="es-AR" w:eastAsia="es-AR" w:bidi="es-AR"/>
        </w:rPr>
        <w:t xml:space="preserve"> (SCBA, Ac 90315 S 6-6-2007 -B29040 JUBA). Y que ..</w:t>
      </w:r>
      <w:r>
        <w:rPr>
          <w:i/>
          <w:lang w:val="es-AR" w:eastAsia="es-AR" w:bidi="es-AR"/>
        </w:rPr>
        <w:t xml:space="preserve">."Es decir, la rebeldía no impone al juez una decisión favorable a las pretensiones del actor, sino que lo autoriza acceder a ellas si fueran justas y estuvieran acreditadas en forma"</w:t>
      </w:r>
      <w:r>
        <w:rPr>
          <w:lang w:val="es-AR" w:eastAsia="es-AR" w:bidi="es-AR"/>
        </w:rPr>
        <w:t xml:space="preserve"> (SCBA, Ac. y Sent. 1959, V. iv, P.96; Juris. Arg., 1944, v. III, p.292).-</w:t>
      </w:r>
    </w:p>
    <w:p>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ind w:firstLine="1134"/>
        <w:jc w:val="both"/>
        <w:rPr>
          <w:lang w:val="es-AR" w:eastAsia="es-AR" w:bidi="es-AR"/>
        </w:rPr>
      </w:pPr>
      <w:r>
        <w:rPr>
          <w:lang w:val="es-AR" w:eastAsia="es-AR" w:bidi="es-AR"/>
        </w:rPr>
        <w:t xml:space="preserve">Ello debe colegirse con que </w:t>
      </w:r>
      <w:r>
        <w:rPr>
          <w:i/>
          <w:lang w:val="es-AR" w:eastAsia="es-AR" w:bidi="es-AR"/>
        </w:rPr>
        <w:t xml:space="preserve">"La declaración de rebeldía no implica una sanción para el incompareciente, ni su inactividad conlleva a que se le prive del amparo de la justicia, ni que se atribuyan al actor otros derechos que los que pruebe tener, debiendo el sentenciante analizar la prueba producida y dictar sentencia de acuerdo a las constancias de autos. No corresponde por lo tanto un reconocimiento ciego de los hechos afirmados por la actora, ni tal declaración impone al juez una determinada decisión, la que -por el contrario- deberá ser dictada conforme a derecho y según las constancias acreditadas en la causa, dado que la presunción que tal instituto implica juega solo en caso de duda y puede ser enervada con los elementos de prueba colectados"</w:t>
      </w:r>
      <w:r>
        <w:rPr>
          <w:lang w:val="es-AR" w:eastAsia="es-AR" w:bidi="es-AR"/>
        </w:rPr>
        <w:t xml:space="preserve"> (CC0100 SN 9907 RSD-26-11 S 22-3-2011  -B858099 JUBA-).- </w:t>
      </w:r>
    </w:p>
    <w:p>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ind w:firstLine="1134"/>
        <w:jc w:val="both"/>
        <w:rPr>
          <w:lang w:val="es-AR" w:eastAsia="es-AR" w:bidi="es-AR"/>
        </w:rPr>
      </w:pPr>
      <w:r>
        <w:rPr>
          <w:lang w:val="es-AR" w:eastAsia="es-AR" w:bidi="es-AR"/>
        </w:rPr>
        <w:t xml:space="preserve">En virtud de lo expuesto, considero que los agravios expresados por el apelante no pueden tener favorable recepción, por lo que propicio la confirmación del fallo.</w:t>
      </w:r>
    </w:p>
    <w:p>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ind w:firstLine="1134"/>
        <w:jc w:val="both"/>
        <w:rPr>
          <w:lang w:val="es-AR" w:eastAsia="es-AR" w:bidi="es-AR"/>
        </w:rPr>
      </w:pPr>
      <w:r>
        <w:rPr>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Sr. Bernardo Louise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1) Rechazar el recurso de apelación confirmando en consecuencia lo decidido por el aquo. 2) Imponer las costas de Alzada por su orden atento al modo en que se ha presentado la cuestión litigiosa  (Arts. 68 y 69 del C.P.C.C.).</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Sr. Bernardo Louise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lang w:val="es-AR" w:eastAsia="es-AR" w:bidi="es-AR"/>
        </w:rPr>
        <w:t xml:space="preserve">S E N T E N C I A:	</w:t>
      </w:r>
    </w:p>
    <w:p>
      <w:pPr>
        <w:pStyle w:val="[Normal]"/>
        <w:spacing w:line="360" w:lineRule="auto"/>
        <w:ind w:firstLine="1134"/>
        <w:jc w:val="both"/>
        <w:rPr>
          <w:lang w:val="es-AR" w:eastAsia="es-AR" w:bidi="es-AR"/>
        </w:rPr>
      </w:pPr>
      <w:r>
        <w:rPr>
          <w:lang w:val="es-AR" w:eastAsia="es-AR" w:bidi="es-AR"/>
        </w:rPr>
        <w:t xml:space="preserve">1) Rechazar el recurso de apelación confirmando en consecuencia lo decidido por el aquo. </w:t>
      </w:r>
    </w:p>
    <w:p>
      <w:pPr>
        <w:pStyle w:val="[Normal]"/>
        <w:spacing w:line="360" w:lineRule="auto"/>
        <w:ind w:firstLine="1134"/>
        <w:jc w:val="both"/>
        <w:rPr>
          <w:lang w:val="es-AR" w:eastAsia="es-AR" w:bidi="es-AR"/>
        </w:rPr>
      </w:pPr>
      <w:r>
        <w:rPr>
          <w:lang w:val="es-AR" w:eastAsia="es-AR" w:bidi="es-AR"/>
        </w:rPr>
        <w:t xml:space="preserve">2) Imponer las costas de Alzada por su orden atento al modo en que se ha presentado la cuestión litigiosa  (Arts. 68 y 69 del C.P.C.C.).</w:t>
      </w:r>
    </w:p>
    <w:p>
      <w:pPr>
        <w:pStyle w:val="[Normal]"/>
        <w:spacing w:line="360" w:lineRule="auto"/>
        <w:ind w:firstLine="1134"/>
        <w:jc w:val="both"/>
        <w:rPr>
          <w:lang w:val="es-AR" w:eastAsia="es-AR" w:bidi="es-AR"/>
        </w:rPr>
      </w:pPr>
      <w:r>
        <w:rPr>
          <w:lang w:val="es-AR" w:eastAsia="es-AR" w:bidi="es-AR"/>
        </w:rPr>
        <w:t xml:space="preserve">Regístrese. Notifíquese. Devuélvase.-</w:t>
      </w:r>
    </w:p>
    <w:p>
      <w:pPr>
        <w:pStyle w:val="[Normal]"/>
        <w:rPr>
          <w:lang w:val="es-AR" w:eastAsia="es-AR" w:bidi="es-AR"/>
        </w:rPr>
      </w:pP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12/11/2020 09:22:55 -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12/11/2020 09:25:25 - Bernardo Louise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12/11/2020 11:21:27 - MOREA Adrian Oscar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‰6b")è%èN%7Š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226602090005004605</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4002EFF" w:usb1="C000247B" w:usb2="00000009" w:usb3="00000000" w:csb0="200001FF"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‰6b")è%èN%7Š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226602090005004605</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EM">
    <w:name w:val="EM"/>
    <w:qFormat/>
    <w:rPr>
      <w:i/>
      <w:iCs/>
      <w:rtl w:val="off"/>
      <w:lang w:val="x-none" w:eastAsia="x-none" w:bidi="x-none"/>
    </w:rPr>
  </w:style>
  <w:style w:type="character" w:styleId="STRONG">
    <w:name w:val="STRONG"/>
    <w:qFormat/>
    <w:rPr>
      <w:b/>
      <w:bCs/>
      <w:rtl w:val="off"/>
      <w:lang w:val="x-none" w:eastAsia="x-none" w:bidi="x-none"/>
    </w:rPr>
  </w:style>
  <w:style w:type="paragraph" w:styleId="Default">
    <w:name w:val="Default"/>
    <w:basedOn w:val="[Normal]"/>
    <w:next w:val="Default"/>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color w:val="000000"/>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 w:type="paragraph" w:styleId="Normal">
    <w:name w:val="Normal"/>
    <w:next w:val="Normal"/>
    <w:qFormat/>
    <w:pPr>
      <w:widowControl w:val="on"/>
      <w:shd w:val="clear" w:color="auto" w:fill="auto"/>
      <w:spacing w:before="0" w:after="200" w:line="276" w:lineRule="auto"/>
      <w:ind w:left="0" w:right="0" w:firstLine="0"/>
      <w:jc w:val="left"/>
    </w:pPr>
    <w:rPr>
      <w:rFonts w:ascii="Calibri" w:hAnsi="Calibri" w:eastAsia="Calibri" w:cs="Calibri"/>
      <w:b w:val="off"/>
      <w:bCs w:val="off"/>
      <w:i w:val="off"/>
      <w:iCs w:val="off"/>
      <w:strike w:val="off"/>
      <w:color w:val="auto"/>
      <w:position w:val="0"/>
      <w:sz w:val="22"/>
      <w:szCs w:val="22"/>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