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rPr>
          <w:lang w:val="es-AR" w:eastAsia="es-AR" w:bidi="es-AR"/>
        </w:rPr>
      </w:pPr>
    </w:p>
    <w:p>
      <w:pPr>
        <w:pStyle w:val="[Normal]"/>
        <w:rPr>
          <w:lang w:val="es-AR" w:eastAsia="es-AR" w:bidi="es-AR"/>
        </w:rPr>
      </w:pPr>
    </w:p>
    <w:p>
      <w:pPr>
        <w:pStyle w:val="[Normal]"/>
        <w:spacing w:line="360" w:lineRule="auto"/>
        <w:ind w:firstLine="1134"/>
        <w:jc w:val="both"/>
        <w:rPr>
          <w:lang w:val="es-AR" w:eastAsia="es-AR" w:bidi="es-AR"/>
        </w:rPr>
      </w:pPr>
      <w:r>
        <w:rPr>
          <w:b/>
          <w:lang w:val="es-AR" w:eastAsia="es-AR" w:bidi="es-AR"/>
        </w:rPr>
        <w:t xml:space="preserve">	Registro N° 159  /</w:t>
      </w:r>
      <w:r>
        <w:rPr>
          <w:b/>
          <w:color w:val="000000"/>
          <w:lang w:val="es-AR" w:eastAsia="es-AR" w:bidi="es-AR"/>
        </w:rPr>
        <w:t xml:space="preserve">2020</w:t>
      </w:r>
      <w:r>
        <w:rPr>
          <w:color w:val="000000"/>
          <w:lang w:val="es-AR" w:eastAsia="es-AR" w:bidi="es-AR"/>
        </w:rPr>
        <w:t xml:space="preserve"> </w:t>
      </w:r>
    </w:p>
    <w:p>
      <w:pPr>
        <w:pStyle w:val="[Normal]"/>
        <w:spacing w:line="360" w:lineRule="auto"/>
        <w:ind w:firstLine="1134"/>
        <w:jc w:val="both"/>
        <w:rPr>
          <w:lang w:val="es-AR" w:eastAsia="es-AR" w:bidi="es-AR"/>
        </w:rPr>
      </w:pPr>
      <w:r>
        <w:rPr>
          <w:lang w:val="es-AR" w:eastAsia="es-AR" w:bidi="es-AR"/>
        </w:rPr>
        <w:t xml:space="preserve">	</w:t>
      </w:r>
      <w:r>
        <w:rPr>
          <w:b/>
          <w:lang w:val="es-AR" w:eastAsia="es-AR" w:bidi="es-AR"/>
        </w:rPr>
        <w:t xml:space="preserve">Fojas 1018/1022</w:t>
      </w:r>
    </w:p>
    <w:p>
      <w:pPr>
        <w:pStyle w:val="[Normal]"/>
        <w:spacing w:line="360" w:lineRule="auto"/>
        <w:ind w:firstLine="1134"/>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el 03 de Noviembre de </w:t>
      </w:r>
      <w:r>
        <w:rPr>
          <w:color w:val="000000"/>
          <w:lang w:val="es-AR" w:eastAsia="es-AR" w:bidi="es-AR"/>
        </w:rPr>
        <w:t xml:space="preserve">2020</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4048-20</w:t>
      </w:r>
      <w:r>
        <w:rPr>
          <w:lang w:val="es-AR" w:eastAsia="es-AR" w:bidi="es-AR"/>
        </w:rPr>
        <w:t xml:space="preserve"> caratulada </w:t>
      </w:r>
      <w:r>
        <w:rPr>
          <w:b/>
          <w:lang w:val="es-AR" w:eastAsia="es-AR" w:bidi="es-AR"/>
        </w:rPr>
        <w:t xml:space="preserve">"</w:t>
      </w:r>
      <w:r>
        <w:rPr>
          <w:b/>
          <w:color w:val="000000"/>
          <w:lang w:val="es-AR" w:eastAsia="es-AR" w:bidi="es-AR"/>
        </w:rPr>
        <w:t xml:space="preserve">PARDO S.A.  C/ CARTOSIELLO ERICA DANIELA S/ COBRO EJECUTIVO</w:t>
      </w:r>
      <w:r>
        <w:rPr>
          <w:b/>
          <w:lang w:val="es-AR" w:eastAsia="es-AR" w:bidi="es-AR"/>
        </w:rPr>
        <w:t xml:space="preserve">"</w:t>
      </w:r>
      <w:r>
        <w:rPr>
          <w:lang w:val="es-AR" w:eastAsia="es-AR" w:bidi="es-AR"/>
        </w:rPr>
        <w:t xml:space="preserve">, Expte. N° </w:t>
      </w:r>
      <w:r>
        <w:rPr>
          <w:color w:val="000000"/>
          <w:lang w:val="es-AR" w:eastAsia="es-AR" w:bidi="es-AR"/>
        </w:rPr>
        <w:t xml:space="preserve">71.871</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en lo Civil y Comercial N° 1</w:t>
      </w:r>
      <w:r>
        <w:rPr>
          <w:lang w:val="es-AR" w:eastAsia="es-AR" w:bidi="es-AR"/>
        </w:rPr>
        <w:t xml:space="preserve">, se practicó el sorteo de ley que determinó que la votación debía efectuarse en el siguiente orden: </w:t>
      </w:r>
      <w:r>
        <w:rPr>
          <w:color w:val="000000"/>
          <w:lang w:val="es-AR" w:eastAsia="es-AR" w:bidi="es-AR"/>
        </w:rPr>
        <w:t xml:space="preserve">BERNARDO LOUISE - GRACIELA SCARAFFIA - ROBERTO M. DEGLEUE</w:t>
      </w:r>
      <w:r>
        <w:rPr>
          <w:lang w:val="es-AR" w:eastAsia="es-AR" w:bidi="es-AR"/>
        </w:rPr>
        <w:t xml:space="preserve">, y estudiados los autos se resolvió  plantear y votar las siguientes: </w:t>
      </w:r>
    </w:p>
    <w:p>
      <w:pPr>
        <w:pStyle w:val="[Normal]"/>
        <w:spacing w:line="360" w:lineRule="auto"/>
        <w:ind w:firstLine="1134"/>
        <w:jc w:val="both"/>
        <w:rPr>
          <w:lang w:val="es-AR" w:eastAsia="es-AR" w:bidi="es-AR"/>
        </w:rPr>
      </w:pPr>
      <w:r>
        <w:rPr>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w:t>
      </w:r>
      <w:r>
        <w:rPr>
          <w:color w:val="000000"/>
          <w:lang w:val="es-AR" w:eastAsia="es-AR" w:bidi="es-AR"/>
        </w:rPr>
        <w:t xml:space="preserve">BERNARDO LOUISE</w:t>
      </w:r>
      <w:r>
        <w:rPr>
          <w:lang w:val="es-AR" w:eastAsia="es-AR" w:bidi="es-AR"/>
        </w:rPr>
        <w:t xml:space="preserve"> dijo:</w:t>
      </w:r>
    </w:p>
    <w:p>
      <w:pPr>
        <w:pStyle w:val="[Normal]"/>
        <w:spacing w:line="360" w:lineRule="auto"/>
        <w:ind w:firstLine="1134"/>
        <w:jc w:val="both"/>
        <w:rPr>
          <w:lang w:val="es-AR" w:eastAsia="es-AR" w:bidi="es-AR"/>
        </w:rPr>
      </w:pPr>
      <w:r>
        <w:rPr>
          <w:lang w:val="es-AR" w:eastAsia="es-AR" w:bidi="es-AR"/>
        </w:rPr>
        <w:t xml:space="preserve">	El señor Juez de la primera instancia en sentencia de fecha 17/10/2019 rechazó la ejecución promovida declarando inhábil el título, con costas a cargo de la parte actora.</w:t>
      </w:r>
    </w:p>
    <w:p>
      <w:pPr>
        <w:pStyle w:val="[Normal]"/>
        <w:spacing w:line="360" w:lineRule="auto"/>
        <w:ind w:firstLine="1134"/>
        <w:jc w:val="both"/>
        <w:rPr>
          <w:lang w:val="es-AR" w:eastAsia="es-AR" w:bidi="es-AR"/>
        </w:rPr>
      </w:pPr>
      <w:r>
        <w:rPr>
          <w:lang w:val="es-AR" w:eastAsia="es-AR" w:bidi="es-AR"/>
        </w:rPr>
        <w:t xml:space="preserve">El decisorio fue objeto del recurso de apelación interpuesto por la parte actora el 21/10/2019, concedido en relación el 05/11/2019, oportunidad en que se corrió traslado de la fundamentación a la contraparte, quien contesta en fecha 27/8/2020. Se eleva la causa el 8/9/2020, dictándose la providencia de autos el 15/9/2020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El Magistrado consideró que el documento base de la presente ejecución es un pagaré de consumo resultando aplicable el régimen previsto en la ley 24.240. Transcribe los arts. 1 y 2 de la norma en los que se definen al consumidor como la persona física o jurídica que adquiere o utiliza en forma gratuita u onerosa bienes o servicios como destinatario final, en beneficio propio o de su grupo familiar o social, y al proveedor como la persona física o jurídica de naturaleza pública o privada que desarrolla de manera profesional actividades de producción, montaje, creación, construcción, transformación, importación, concesión de marca, distribución y comercialización de bienes y servicios, destinados a consumidores o usuarios. Determinó entonces a partir de la actividad desarrollada por la actora (const. AFIP fs. 12) -y si bien no se consigna el concepto por el cual se debe el importe reclamado-, que el pagaré en ejecución fue librado en el marco de una relación de consumo (arts. 1, 2, 3 de la Ley 24.240) por lo que procede a analizar si fueron cumplidos los recaudos establecidos en el art. 36 de la ley que regula la materia, entendiendo que </w:t>
      </w:r>
      <w:r>
        <w:rPr>
          <w:i/>
          <w:lang w:val="es-AR" w:eastAsia="es-AR" w:bidi="es-AR"/>
        </w:rPr>
        <w:t xml:space="preserve">"...la parte ejecutante no cumplió con la obligación de dar debida información al tomador del crédito y con ello dar cumplimiento a lo previsto en el artículo mencionado, al no individualizar de manera completa los requisitos exigidos en el mismo</w:t>
      </w:r>
      <w:r>
        <w:rPr>
          <w:lang w:val="es-AR" w:eastAsia="es-AR" w:bidi="es-AR"/>
        </w:rPr>
        <w:t xml:space="preserve">.", tales como el monto financiado, la tasa de interés efectiva anual, el total de los intereses a pagar o el costo financiero total, el sistema de amortización del capital y cancelación de los intereses, la cantidad, periodicidad y monto de los pagos a realizar y demás gastos si los hubiere.</w:t>
      </w:r>
    </w:p>
    <w:p>
      <w:pPr>
        <w:pStyle w:val="[Normal]"/>
        <w:spacing w:line="360" w:lineRule="auto"/>
        <w:ind w:firstLine="1134"/>
        <w:jc w:val="both"/>
        <w:rPr>
          <w:lang w:val="es-AR" w:eastAsia="es-AR" w:bidi="es-AR"/>
        </w:rPr>
      </w:pPr>
      <w:r>
        <w:rPr>
          <w:lang w:val="es-AR" w:eastAsia="es-AR" w:bidi="es-AR"/>
        </w:rPr>
        <w:t xml:space="preserve">Se agravia el recurrente de la sentencia recaída por cuanto decide que </w:t>
      </w:r>
      <w:r>
        <w:rPr>
          <w:lang w:val="es-AR" w:eastAsia="es-AR" w:bidi="es-AR"/>
        </w:rPr>
        <w:t xml:space="preserve">se trata de una relación de consumo para finalmente tener por inhábil el título y desestimar la ejecución dejando al actor carente de herramientas para cobrar su crédito, decidiendo enriquecer injustamente al deudor, suponiendo ello a su entender, un desequilibrio intolerable entre las partes. Destaca que la demandada, debidamente notificada </w:t>
      </w:r>
      <w:r>
        <w:rPr>
          <w:rStyle w:val="U"/>
          <w:u w:val="none"/>
          <w:lang w:val="es-AR" w:eastAsia="es-AR" w:bidi="es-AR"/>
        </w:rPr>
        <w:t xml:space="preserve">no se presentó a estar a derecho y se le tuvo</w:t>
      </w:r>
      <w:r>
        <w:rPr>
          <w:lang w:val="es-AR" w:eastAsia="es-AR" w:bidi="es-AR"/>
        </w:rPr>
        <w:t xml:space="preserve"> </w:t>
      </w:r>
      <w:r>
        <w:rPr>
          <w:rStyle w:val="STRONG"/>
          <w:b w:val="off"/>
          <w:lang w:val="es-AR" w:eastAsia="es-AR" w:bidi="es-AR"/>
        </w:rPr>
        <w:t xml:space="preserve">por constituido domicilio en los Estrados del Juzgado</w:t>
      </w:r>
      <w:r>
        <w:rPr>
          <w:lang w:val="es-AR" w:eastAsia="es-AR" w:bidi="es-AR"/>
        </w:rPr>
        <w:t xml:space="preserve"> por lo que sostiene que el antecedente de esta Alzada que cita el fallo, no resulta aplicable al presente en tanto en aquél </w:t>
      </w:r>
      <w:r>
        <w:rPr>
          <w:rStyle w:val="U"/>
          <w:u w:val="none"/>
          <w:lang w:val="es-AR" w:eastAsia="es-AR" w:bidi="es-AR"/>
        </w:rPr>
        <w:t xml:space="preserve">fue la contraparte quién</w:t>
      </w:r>
      <w:r>
        <w:rPr>
          <w:lang w:val="es-AR" w:eastAsia="es-AR" w:bidi="es-AR"/>
        </w:rPr>
        <w:t xml:space="preserve"> mediante la excepción de inhabilidad de título </w:t>
      </w:r>
      <w:r>
        <w:rPr>
          <w:rStyle w:val="U"/>
          <w:u w:val="none"/>
          <w:lang w:val="es-AR" w:eastAsia="es-AR" w:bidi="es-AR"/>
        </w:rPr>
        <w:t xml:space="preserve">instó el proceso</w:t>
      </w:r>
      <w:r>
        <w:rPr>
          <w:rStyle w:val="STRONG"/>
          <w:b w:val="off"/>
          <w:lang w:val="es-AR" w:eastAsia="es-AR" w:bidi="es-AR"/>
        </w:rPr>
        <w:t xml:space="preserve"> </w:t>
      </w:r>
      <w:r>
        <w:rPr>
          <w:lang w:val="es-AR" w:eastAsia="es-AR" w:bidi="es-AR"/>
        </w:rPr>
        <w:t xml:space="preserve">a diferencia del caso en recurso. Señala que la finalidad tuitiva que pretende tener el inferior no puede llevar al extremo de introducirse inaudita parte en el análisis detallado de la operación causal y apunta en orden a la nulidad establecida por el art. 36 de mención, que es de </w:t>
      </w:r>
      <w:r>
        <w:rPr>
          <w:rStyle w:val="STRONG"/>
          <w:b w:val="off"/>
          <w:lang w:val="es-AR" w:eastAsia="es-AR" w:bidi="es-AR"/>
        </w:rPr>
        <w:t xml:space="preserve">carácter relativo y no absoluta</w:t>
      </w:r>
      <w:r>
        <w:rPr>
          <w:lang w:val="es-AR" w:eastAsia="es-AR" w:bidi="es-AR"/>
        </w:rPr>
        <w:t xml:space="preserve">, lo que obstaculiza la declaración de oficio de la misma conforme lo dispuesto por el art. 388 del C.C.C.N. Así, critica la solución del Sr. Juez de decretar la inhabilidad del pagaré que sirve de base al proceso ejecutivo sin oír previamente al ejecutado en tanto el orden público de la ley de Defensa del Consumidor no implica sustituir a las partes ni decretar la nulidad absoluta de oficio. Por ello, afirma que </w:t>
      </w:r>
      <w:r>
        <w:rPr>
          <w:rStyle w:val="STRONG"/>
          <w:b w:val="off"/>
          <w:lang w:val="es-AR" w:eastAsia="es-AR" w:bidi="es-AR"/>
        </w:rPr>
        <w:t xml:space="preserve">el juez debe ordenar oportunamente el mandamiento de intimación de pago y embargo (siempre que el documento reúna los requisitos de título hábil que contempla el art. 521 del Cód. Proc.), y</w:t>
      </w:r>
      <w:r>
        <w:rPr>
          <w:lang w:val="es-AR" w:eastAsia="es-AR" w:bidi="es-AR"/>
        </w:rPr>
        <w:t xml:space="preserve"> </w:t>
      </w:r>
      <w:r>
        <w:rPr>
          <w:rStyle w:val="STRONG"/>
          <w:b w:val="off"/>
          <w:lang w:val="es-AR" w:eastAsia="es-AR" w:bidi="es-AR"/>
        </w:rPr>
        <w:t xml:space="preserve">esperar la respuesta del ejecutado</w:t>
      </w:r>
      <w:r>
        <w:rPr>
          <w:lang w:val="es-AR" w:eastAsia="es-AR" w:bidi="es-AR"/>
        </w:rPr>
        <w:t xml:space="preserve">. Cita jurisprudencia y pide se revoque con costas, la sentencia apelada que le ocasiona un gravamen irreparable al haber excedido el juez de grado sus facultades </w:t>
      </w:r>
      <w:r>
        <w:rPr>
          <w:i/>
          <w:lang w:val="es-AR" w:eastAsia="es-AR" w:bidi="es-AR"/>
        </w:rPr>
        <w:t xml:space="preserve">"...por cuanto sin elementos encuadra la relación negocial como una relación de consumo, violando el derecho de defensa en juicio del actor y el derecho de igualdad de partes en el proceso."</w:t>
      </w:r>
      <w:r>
        <w:rPr>
          <w:lang w:val="es-AR" w:eastAsia="es-AR" w:bidi="es-AR"/>
        </w:rPr>
        <w:t xml:space="preserve">.</w:t>
      </w:r>
    </w:p>
    <w:p>
      <w:pPr>
        <w:pStyle w:val="[Normal]"/>
        <w:spacing w:line="360" w:lineRule="auto"/>
        <w:ind w:firstLine="1134"/>
        <w:jc w:val="both"/>
        <w:rPr>
          <w:i/>
          <w:lang w:val="es-AR" w:eastAsia="es-AR" w:bidi="es-AR"/>
        </w:rPr>
      </w:pPr>
      <w:r>
        <w:rPr>
          <w:lang w:val="es-AR" w:eastAsia="es-AR" w:bidi="es-AR"/>
        </w:rPr>
        <w:t xml:space="preserve">La contraria replica lo expuesto expresando que el pagaré en ejecución</w:t>
      </w:r>
      <w:r>
        <w:rPr>
          <w:i/>
          <w:lang w:val="es-AR" w:eastAsia="es-AR" w:bidi="es-AR"/>
        </w:rPr>
        <w:t xml:space="preserve"> "...más allá de no cumplir con las formalidades establecidas por el art 36 de la LDC tampoco cumple las formalidades establecidas para un título ejecutivo.".</w:t>
      </w:r>
    </w:p>
    <w:p>
      <w:pPr>
        <w:pStyle w:val="[Normal]"/>
        <w:spacing w:line="360" w:lineRule="auto"/>
        <w:ind w:firstLine="1134"/>
        <w:jc w:val="both"/>
        <w:rPr>
          <w:lang w:val="es-AR" w:eastAsia="es-AR" w:bidi="es-AR"/>
        </w:rPr>
      </w:pPr>
      <w:r>
        <w:rPr>
          <w:lang w:val="es-AR" w:eastAsia="es-AR" w:bidi="es-AR"/>
        </w:rPr>
        <w:t xml:space="preserve">En cuanto al encuadre de la cuestión en el marco de la relación de consumo destaca que con anterioridad al dictado de la sentencia, el Juzgador mediante auto del 18/9/2019 había establecido que de las constancias de autos emergía tal circunstancia, </w:t>
      </w:r>
      <w:r>
        <w:rPr>
          <w:i/>
          <w:lang w:val="es-AR" w:eastAsia="es-AR" w:bidi="es-AR"/>
        </w:rPr>
        <w:t xml:space="preserve">"... por lo que la actora no puede en la expresión de agravios considerar un agravio irreparable la sentencia cuando ya se había estipulado la relación de consumo.". </w:t>
      </w:r>
      <w:r>
        <w:rPr>
          <w:lang w:val="es-AR" w:eastAsia="es-AR" w:bidi="es-AR"/>
        </w:rPr>
        <w:t xml:space="preserve">Y aduna que se encuentra acreditado que el beneficiario ejecutante se dedica a la venta de electrodomésticos, lo que es de público y notorio, inscripto en AFIP bajo tales términos y que en su calidad de demandada, es una persona física que no posee ingresos fijos, existiendo una multiplicidad de procesos instados por la actora, de idénticas características. Argumenta respecto a que la fuente de la normativa consumeril es el artículo 42 de la Constitución Nacional y se explaya en tal sentido, manifestando que </w:t>
      </w:r>
      <w:r>
        <w:rPr>
          <w:i/>
          <w:lang w:val="es-AR" w:eastAsia="es-AR" w:bidi="es-AR"/>
        </w:rPr>
        <w:t xml:space="preserve">"El legislador previó, detallada y detenidamente, una serie de requisitos que deben cumplirse en las operaciones de financiación o crédito para el consumo y que enumeró en el art 36, Ley 24240 ... y cuyo principal objetivo es impedir la vulneración del derecho de información del consumidor y proscribir el abuso y aprovechamiento de su debilidad fáctica y jurídica cuando, por ejemplo, al adquirir un bien o servicio financiado suscribe un pagaré u otro papel de comercio...Se trata de un derecho de los consumidores justificado por la situación de asimetría en la que se ven situados en la relación de consumo."</w:t>
      </w:r>
    </w:p>
    <w:p>
      <w:pPr>
        <w:pStyle w:val="[Normal]"/>
        <w:spacing w:line="360" w:lineRule="auto"/>
        <w:ind w:firstLine="1134"/>
        <w:jc w:val="both"/>
        <w:rPr>
          <w:lang w:val="es-AR" w:eastAsia="es-AR" w:bidi="es-AR"/>
        </w:rPr>
      </w:pPr>
      <w:r>
        <w:rPr>
          <w:lang w:val="es-AR" w:eastAsia="es-AR" w:bidi="es-AR"/>
        </w:rPr>
        <w:t xml:space="preserve">Refiere además a la </w:t>
      </w:r>
      <w:r>
        <w:rPr>
          <w:i/>
          <w:lang w:val="es-AR" w:eastAsia="es-AR" w:bidi="es-AR"/>
        </w:rPr>
        <w:t xml:space="preserve">"...la prevalescencia de un criterio interpretativo mas favorable al consumidor. Las normas que regulan las relaciones de consumo deben ser aplicadas, interpretadas conforme al principio de protección del consumidor y el de acceso al consumo sustentable y que en caso de duda sobre la interpretación de este Código o de las leyes especiales, prevalece la mas favorable al consumidor.",</w:t>
      </w:r>
      <w:r>
        <w:rPr>
          <w:lang w:val="es-AR" w:eastAsia="es-AR" w:bidi="es-AR"/>
        </w:rPr>
        <w:t xml:space="preserve"> con cita del art. 1094 del C.C.C.</w:t>
      </w:r>
    </w:p>
    <w:p>
      <w:pPr>
        <w:pStyle w:val="[Normal]"/>
        <w:spacing w:line="360" w:lineRule="auto"/>
        <w:ind w:firstLine="1134"/>
        <w:jc w:val="both"/>
        <w:rPr>
          <w:lang w:val="es-AR" w:eastAsia="es-AR" w:bidi="es-AR"/>
        </w:rPr>
      </w:pPr>
      <w:r>
        <w:rPr>
          <w:lang w:val="es-AR" w:eastAsia="es-AR" w:bidi="es-AR"/>
        </w:rPr>
        <w:t xml:space="preserve">En tarea, he de comenzar por decir en cuanto a la presente acción con base en el título ejecutivo en cuestión -pagaré a la vista y sin protesto por la suma de $ 16.300 en el que no se especifica lo recibido por dicho valor</w:t>
      </w:r>
      <w:r>
        <w:rPr>
          <w:i/>
          <w:lang w:val="es-AR" w:eastAsia="es-AR" w:bidi="es-AR"/>
        </w:rPr>
        <w:t xml:space="preserve"> </w:t>
      </w:r>
      <w:r>
        <w:rPr>
          <w:lang w:val="es-AR" w:eastAsia="es-AR" w:bidi="es-AR"/>
        </w:rPr>
        <w:t xml:space="preserve">( fs. 9)-, que coincido con el sentenciante primero en cuanto a que resulta de público conocimiento que la ejecutante se dedica profesionalmente a la venta de electrodomésticos y/o artefactos y/o muebles para el hogar, actividad que ademas surge de la inscripción en AFIP (fs.12), a lo que se agrega la cantidad de causas que ha promovido con el mismo objeto en esta departamental, contra personas físicas individuales firmantes de pagarés. Todos esos indicios me llevan a afirmar que el documento objeto de autos ha nacido en el marco de una relación de consumo.</w:t>
      </w:r>
    </w:p>
    <w:p>
      <w:pPr>
        <w:pStyle w:val="[Normal]"/>
        <w:spacing w:line="360" w:lineRule="auto"/>
        <w:ind w:firstLine="1134"/>
        <w:jc w:val="both"/>
        <w:rPr>
          <w:lang w:val="es-AR" w:eastAsia="es-AR" w:bidi="es-AR"/>
        </w:rPr>
      </w:pPr>
      <w:r>
        <w:rPr>
          <w:lang w:val="es-AR" w:eastAsia="es-AR" w:bidi="es-AR"/>
        </w:rPr>
        <w:t xml:space="preserve">El Juzgador primero así lo había consignado previo al decisorio atacado, al proveer la solicitud de fecha 17/9/2019 en la que la actora peticionara el dictado de sentencia. Allí dispuso en razón de que de las constancias de autos surgía palmariamente la existencia de una relación de consumo y en virtud de lo dispuesto por el artículo 29 de la Ley 14.442, dar la debida intervención al Ministerio Público Fiscal a sus efectos, dictaminando su representante en fecha 2/10/2019</w:t>
      </w:r>
      <w:r>
        <w:rPr>
          <w:i/>
          <w:lang w:val="es-AR" w:eastAsia="es-AR" w:bidi="es-AR"/>
        </w:rPr>
        <w:t xml:space="preserve"> "...que previo al dictado de la sentencia V.S. debe solicitar a la actora que acompañe documentación respaldatoria, de conformidad a lo estipulado en el art. 36 de la Ley de Defensa del Consumidor N° 24.240.". </w:t>
      </w:r>
      <w:r>
        <w:rPr>
          <w:lang w:val="es-AR" w:eastAsia="es-AR" w:bidi="es-AR"/>
        </w:rPr>
        <w:t xml:space="preserve">En providencia del 3/10/2019 se ordenó hacer saber y se llamó autos a despacho, quedando ello consentido el 15/10/2019 y dictándose la sentencia ahora en crisis, el 17/10/2019. Asiste entonces razón a la ejecutada cuando resalta que el ejecutante no cuestionó oportunamente aquella conclusión ni procedió consecuentemente a acompañar documentación que integrara el instrumento. </w:t>
      </w:r>
    </w:p>
    <w:p>
      <w:pPr>
        <w:pStyle w:val="[Normal]"/>
        <w:spacing w:line="360" w:lineRule="auto"/>
        <w:ind w:firstLine="1134"/>
        <w:jc w:val="both"/>
        <w:rPr>
          <w:lang w:val="es-AR" w:eastAsia="es-AR" w:bidi="es-AR"/>
        </w:rPr>
      </w:pPr>
      <w:r>
        <w:rPr>
          <w:lang w:val="es-AR" w:eastAsia="es-AR" w:bidi="es-AR"/>
        </w:rPr>
        <w:t xml:space="preserve">Como reseñara más arriba, la ejecución se rechazó con motivo en la inhabilidad de título por considerar el A-quo no abastecida la debida obligación de información al consumidor ejecutado y esta Alzada ya se ha expedido al respecto en numerosos antecedentes análogos, con citas de Tribunales provinciales, en el sentido de que el pagaré de consumo puede integrarse con documentación adicional relativa al negocio causal dentro del mismo juicio ejecutivo, en tanto conforma un título complejo que deberá contener información clara en cumplimiento de los requisitos del art. 36 de la LDC para las operaciones de financiación o crédito para el consumo. En lo que respecta a la oportunidad procesal, la integración de la cartular debe realizarse respetando el derecho de defensa del consumidor, la bilateralidad del proceso y el principio de congruencia (arts. 15 de la Const. provincial; 34 inc. 5, 163 inc. 6, 529, 542 ss. y cdtes. del Código Procesal). Por ello, la documental adicional debe acompañarse en Primera Instancia teniendo como límite el dictado de la sentencia definitiva. Se ha enfatizado que la aptitud ejecutiva del título con el cual se deduce la ejecución debe ser analizada por el juez como director del proceso al despachar la ejecución, sin perjuicio de que lo puede hacer hasta el dictado de sentencia, lo cual impone permitir que el ejecutante integre el título con la documentación respectiva hasta dicha oportunidad (confr. causas CAP N° 3646 del 01/10/2019; CCC Azul en pleno, 17/3/2017; CCC 2° LP sala 1 causa 120271, RSD 221/16).</w:t>
      </w:r>
    </w:p>
    <w:p>
      <w:pPr>
        <w:pStyle w:val="[Normal]"/>
        <w:spacing w:line="360" w:lineRule="auto"/>
        <w:ind w:firstLine="1134"/>
        <w:jc w:val="both"/>
        <w:rPr>
          <w:lang w:val="es-AR" w:eastAsia="es-AR" w:bidi="es-AR"/>
        </w:rPr>
      </w:pPr>
      <w:r>
        <w:rPr>
          <w:lang w:val="es-AR" w:eastAsia="es-AR" w:bidi="es-AR"/>
        </w:rPr>
        <w:t xml:space="preserve">Al análisis de su ejecutabilidad se aduna, acreditada la relación de consumo -lo que supone el examen del negocio subyacente-, la indagación respecto del cumplimiento de los requisitos previstos por la LDC, siendo carga de las partes dentro de la limitación temporal que garantice la igualdad procesal, la prueba respectiva en la medida de su interés. Se trata de una convergencia de fuentes normativas y no de exclusión a priori de una de ellas procurando asegurar la tutela del consumidor sin eliminar el régimen cambiario y del juicio ejecutivo.</w:t>
      </w:r>
    </w:p>
    <w:p>
      <w:pPr>
        <w:pStyle w:val="[Normal]"/>
        <w:spacing w:line="360" w:lineRule="auto"/>
        <w:ind w:firstLine="1134"/>
        <w:jc w:val="both"/>
        <w:rPr>
          <w:lang w:val="es-AR" w:eastAsia="es-AR" w:bidi="es-AR"/>
        </w:rPr>
      </w:pPr>
      <w:r>
        <w:rPr>
          <w:lang w:val="es-AR" w:eastAsia="es-AR" w:bidi="es-AR"/>
        </w:rPr>
        <w:t xml:space="preserve">Ha dicho la SCBA, "</w:t>
      </w:r>
      <w:r>
        <w:rPr>
          <w:i/>
          <w:lang w:val="es-AR" w:eastAsia="es-AR" w:bidi="es-AR"/>
        </w:rPr>
        <w:t xml:space="preserve">En ese plano de congruencia sistemática es claro que la aplicabilidad de la LDC flexibiliza el andamiaje por el que discurre la pretensión ejecutiva, con respeto de los principios de bilateralidad y defensa en juicio (arts. 18, Const. nac.; 15, Const. prov.; 34 inc. 5 apdo. "c" y 36 inc. 2 y concs., CPCC). Como también lo es que en situaciones como las ventiladas en esta causa la indagación en los aspectos sustanciales (del negocio jurídico extracambiario) se corresponde con el postulado señalado y pone a resguardo los derechos informativos que amparan al consumidor (art. 42, Const. nac.). De tal suerte, en el ejercicio de las atribuciones que le confiere el ordenamiento procesal (arg. arts. 34 inc. 5 apdo. "c" y 36 inc. 2 y concs., CPCC), el juez puede encuadrar el asunto como una relación de consumo a fin de subsumirlo en el art. 36 de la LDC.  </w:t>
      </w:r>
      <w:r>
        <w:rPr>
          <w:lang w:val="es-AR" w:eastAsia="es-AR" w:bidi="es-AR"/>
        </w:rPr>
        <w:t xml:space="preserve">(Causa C. 121.684, "Asociación Mutual Asís contra Cubilla, María Ester. Cobro ejecutivo de fecha 14/08/19). </w:t>
      </w:r>
    </w:p>
    <w:p>
      <w:pPr>
        <w:pStyle w:val="[Normal]"/>
        <w:spacing w:line="360" w:lineRule="auto"/>
        <w:ind w:firstLine="1134"/>
        <w:jc w:val="both"/>
        <w:rPr>
          <w:lang w:val="es-AR" w:eastAsia="es-AR" w:bidi="es-AR"/>
        </w:rPr>
      </w:pPr>
      <w:r>
        <w:rPr>
          <w:lang w:val="es-AR" w:eastAsia="es-AR" w:bidi="es-AR"/>
        </w:rPr>
        <w:t xml:space="preserve">A la luz de las consideraciones efectuadas, la pretensión del apelante de obtener sentencia favorable en una ejecución dirigida contra un consumidor sin acreditar el cumplimiento de los recaudos informativos previstos en el art. 36 de la LDC, resulta claramente improcedente.</w:t>
      </w:r>
    </w:p>
    <w:p>
      <w:pPr>
        <w:pStyle w:val="[Normal]"/>
        <w:spacing w:line="360" w:lineRule="auto"/>
        <w:ind w:firstLine="1134"/>
        <w:jc w:val="both"/>
        <w:rPr>
          <w:lang w:val="es-AR" w:eastAsia="es-AR" w:bidi="es-AR"/>
        </w:rPr>
      </w:pPr>
      <w:r>
        <w:rPr>
          <w:lang w:val="es-AR" w:eastAsia="es-AR" w:bidi="es-AR"/>
        </w:rPr>
        <w:t xml:space="preserve">En cuanto al agravio relativo a que el incumplimiento de los requisitos contenidos en el art. 36 de la LDC no ha sido introducido en debate por la parte interesada</w:t>
      </w:r>
      <w:r>
        <w:rPr>
          <w:i/>
          <w:lang w:val="es-AR" w:eastAsia="es-AR" w:bidi="es-AR"/>
        </w:rPr>
        <w:t xml:space="preserve"> </w:t>
      </w:r>
      <w:r>
        <w:rPr>
          <w:lang w:val="es-AR" w:eastAsia="es-AR" w:bidi="es-AR"/>
        </w:rPr>
        <w:t xml:space="preserve">y no procede tal declaración de oficio, no puede ser atendido. Es que, con</w:t>
      </w:r>
      <w:r>
        <w:rPr>
          <w:b/>
          <w:lang w:val="es-AR" w:eastAsia="es-AR" w:bidi="es-AR"/>
        </w:rPr>
        <w:t xml:space="preserve"> </w:t>
      </w:r>
      <w:r>
        <w:rPr>
          <w:lang w:val="es-AR" w:eastAsia="es-AR" w:bidi="es-AR"/>
        </w:rPr>
        <w:t xml:space="preserve">base en el ejercicio de las atribuciones conferidas por el ordenamiento procesal (arg. arts. 34 inc. 5 apdo. "c" y 36 inc. 2 y concs., CPCC), el juez puede encuadrar el asunto como una relación de consumo a fin de subsumirlo en el art. 36 de la LDC. En efecto, el Superior Tribunal Provincial, en el fallo </w:t>
      </w:r>
      <w:r>
        <w:rPr>
          <w:i/>
          <w:lang w:val="es-AR" w:eastAsia="es-AR" w:bidi="es-AR"/>
        </w:rPr>
        <w:t xml:space="preserve">“Cuevas”</w:t>
      </w:r>
      <w:r>
        <w:rPr>
          <w:lang w:val="es-AR" w:eastAsia="es-AR" w:bidi="es-AR"/>
        </w:rPr>
        <w:t xml:space="preserve"> aludió a supuestos en lo que como el presente, aparecen comprometidas normas jurídicas tuitivas de consumidores y usuarios. Y, sobre tal inteligencia, entendió que los jueces se encuentran autorizados para controlar oficiosamente el cumplimiento de las exigencias impuestas en la LDC (C. 109.305 "Cuevas, Eduardo A. c/ Salcedo, Alejandro R. Cobro Ejecutivo", 1/9/10).</w:t>
      </w:r>
    </w:p>
    <w:p>
      <w:pPr>
        <w:pStyle w:val="[Normal]"/>
        <w:spacing w:line="360" w:lineRule="auto"/>
        <w:ind w:firstLine="1134"/>
        <w:jc w:val="both"/>
        <w:rPr>
          <w:b/>
          <w:lang w:val="es-AR" w:eastAsia="es-AR" w:bidi="es-AR"/>
        </w:rPr>
      </w:pPr>
      <w:r>
        <w:rPr>
          <w:lang w:val="es-AR" w:eastAsia="es-AR" w:bidi="es-AR"/>
        </w:rPr>
        <w:t xml:space="preserve">Además, como expresara esta Alzada en autos N° 3683 sent. 19/12/2019, </w:t>
      </w:r>
      <w:r>
        <w:rPr>
          <w:i/>
          <w:lang w:val="es-AR" w:eastAsia="es-AR" w:bidi="es-AR"/>
        </w:rPr>
        <w:t xml:space="preserve">"... se impone señalar que en el marco del juicio ejecutivo existe una razón normativa especial que habilita la intervención oficiosa del Juez de grado en el examen previo de la cuestión. Y es que del art. 529 del CPCCBA se deduce que constituye un deber del juez examinar cuidadosamente si el título del ejecutante reúne las condiciones jurídicas requeridas por el orden jurídico para ser susceptible de ejecución por la vía ejecutiva. Al respecto, entiendo que una de esas condiciones es el cumplimiento de las normas que integran el orden público. Por lo que en el caso de los pagarés de consumo, la determinación de la idoneidad del título no puede desentenderse válidamente de los preceptos imperativos que conforman la LDC."</w:t>
      </w:r>
    </w:p>
    <w:p>
      <w:pPr>
        <w:pStyle w:val="[Normal]"/>
        <w:spacing w:line="360" w:lineRule="auto"/>
        <w:ind w:firstLine="1134"/>
        <w:jc w:val="both"/>
        <w:rPr>
          <w:lang w:val="es-AR" w:eastAsia="es-AR" w:bidi="es-AR"/>
        </w:rPr>
      </w:pPr>
      <w:r>
        <w:rPr>
          <w:lang w:val="es-AR" w:eastAsia="es-AR" w:bidi="es-AR"/>
        </w:rPr>
        <w:t xml:space="preserve"> En definitiva, ello implica verificar en cada caso el eficaz cumplimiento del art. 36 de la ley 24.240, pudiendo el juez saltar la barrera del título ejecutivo y entrar a analizar el negocio que dio origen al instrumento, y si se cumplió con los recaudos previstos en la LDC.</w:t>
      </w:r>
    </w:p>
    <w:p>
      <w:pPr>
        <w:pStyle w:val="[Normal]"/>
        <w:spacing w:line="360" w:lineRule="auto"/>
        <w:ind w:firstLine="1134"/>
        <w:jc w:val="both"/>
        <w:rPr>
          <w:lang w:val="es-AR" w:eastAsia="es-AR" w:bidi="es-AR"/>
        </w:rPr>
      </w:pPr>
      <w:r>
        <w:rPr>
          <w:lang w:val="es-AR" w:eastAsia="es-AR" w:bidi="es-AR"/>
        </w:rPr>
        <w:t xml:space="preserve">Por último, en cuanto a la crítica dirigida a la cita que efectúa el Magistrado anterior, del precedente de esta Cámara caratulado </w:t>
      </w:r>
      <w:r>
        <w:rPr>
          <w:i/>
          <w:lang w:val="es-AR" w:eastAsia="es-AR" w:bidi="es-AR"/>
        </w:rPr>
        <w:t xml:space="preserve">“FLORIDA SUR S.R.L. C/ DI MATTEO CARLOS ALBERTO S/ COBRO EJECUTIVO” -N° 3545 RSD del 9/5/2019-</w:t>
      </w:r>
      <w:r>
        <w:rPr>
          <w:lang w:val="es-AR" w:eastAsia="es-AR" w:bidi="es-AR"/>
        </w:rPr>
        <w:t xml:space="preserve"> por cuanto en el mismo se interpusieron excepciones y se dió el respectivo debate, soy de opinión que tal circunstancia no impide la remisión a lo allí decidido en los términos que lo efectuara el A-quo, esto es para fundar la admisión del pagaré de consumo como instrumento cuya habilidad está supeditada a la condición necesaria de cumplir con los recaudos establecidos por el art. 36 de la ley admitiendo la posibilidad de presumir su existencia sobre la base de los elementos obrantes en la causa, que es precisamente lo que se decidió en los mencionados autos.</w:t>
      </w:r>
    </w:p>
    <w:p>
      <w:pPr>
        <w:pStyle w:val="[Normal]"/>
        <w:spacing w:line="360" w:lineRule="auto"/>
        <w:ind w:firstLine="1134"/>
        <w:jc w:val="both"/>
        <w:rPr>
          <w:lang w:val="es-AR" w:eastAsia="es-AR" w:bidi="es-AR"/>
        </w:rPr>
      </w:pPr>
      <w:r>
        <w:rPr>
          <w:lang w:val="es-AR" w:eastAsia="es-AR" w:bidi="es-AR"/>
        </w:rPr>
        <w:t xml:space="preserve">Por las razones dadas, citas legales y jurisprudenciales de referencia,</w:t>
      </w:r>
    </w:p>
    <w:p>
      <w:pPr>
        <w:pStyle w:val="[Normal]"/>
        <w:spacing w:line="360" w:lineRule="auto"/>
        <w:ind w:firstLine="1134"/>
        <w:jc w:val="both"/>
        <w:rPr>
          <w:lang w:val="es-AR" w:eastAsia="es-AR" w:bidi="es-AR"/>
        </w:rPr>
      </w:pPr>
      <w:r>
        <w:rPr>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los Sres. Jueces </w:t>
      </w:r>
      <w:r>
        <w:rPr>
          <w:color w:val="000000"/>
          <w:lang w:val="es-AR" w:eastAsia="es-AR" w:bidi="es-AR"/>
        </w:rPr>
        <w:t xml:space="preserve">GRACIELA SCARAFFIA Y ROBERTO M. DEGLEUE</w:t>
      </w:r>
      <w:r>
        <w:rPr>
          <w:lang w:val="es-AR" w:eastAsia="es-AR" w:bidi="es-AR"/>
        </w:rPr>
        <w:t xml:space="preserv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w:t>
      </w:r>
      <w:r>
        <w:rPr>
          <w:color w:val="000000"/>
          <w:lang w:val="es-AR" w:eastAsia="es-AR" w:bidi="es-AR"/>
        </w:rPr>
        <w:t xml:space="preserve">BERNARDO LOUISE</w:t>
      </w:r>
      <w:r>
        <w:rPr>
          <w:lang w:val="es-AR" w:eastAsia="es-AR" w:bidi="es-AR"/>
        </w:rPr>
        <w:t xml:space="preserv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Desestimar el recurso de apelación interpuesto y en consecuencia confirmar la sentencia recurrida (art. 42 C.N., 38 Const. Prov.; 1, 2, 36 y 65 LDC; 34 inc. 5, 384, 529 y 549 y ccs. del CPCC).</w:t>
      </w:r>
    </w:p>
    <w:p>
      <w:pPr>
        <w:pStyle w:val="[Normal]"/>
        <w:spacing w:line="360" w:lineRule="auto"/>
        <w:ind w:firstLine="1134"/>
        <w:jc w:val="both"/>
        <w:rPr>
          <w:lang w:val="es-AR" w:eastAsia="es-AR" w:bidi="es-AR"/>
        </w:rPr>
      </w:pPr>
      <w:r>
        <w:rPr>
          <w:lang w:val="es-AR" w:eastAsia="es-AR" w:bidi="es-AR"/>
        </w:rPr>
        <w:t xml:space="preserve">Costas al apelante perdidoso (arts. 68/9 CPCC).</w:t>
      </w:r>
    </w:p>
    <w:p>
      <w:pPr>
        <w:pStyle w:val="[Normal]"/>
        <w:spacing w:line="360" w:lineRule="auto"/>
        <w:ind w:firstLine="1134"/>
        <w:jc w:val="both"/>
        <w:rPr>
          <w:lang w:val="es-AR" w:eastAsia="es-AR" w:bidi="es-AR"/>
        </w:rPr>
      </w:pPr>
      <w:r>
        <w:rPr>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Sres. Jueces </w:t>
      </w:r>
      <w:r>
        <w:rPr>
          <w:color w:val="000000"/>
          <w:lang w:val="es-AR" w:eastAsia="es-AR" w:bidi="es-AR"/>
        </w:rPr>
        <w:t xml:space="preserve">GRACIELA SCARAFFIA Y ROBERTO M. DEGLEUE</w:t>
      </w:r>
      <w:r>
        <w:rPr>
          <w:lang w:val="es-AR" w:eastAsia="es-AR" w:bidi="es-AR"/>
        </w:rPr>
        <w:t xml:space="preserv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Desestimar el recurso de apelación interpuesto y en consecuencia confirmar la sentencia recurrida (art. 42 C.N., 38 Const. Prov.; 1, 2, 36 y 65 LDC; 34 inc. 5, 384, 529 y 549 y ccs. del CPCC).</w:t>
      </w:r>
    </w:p>
    <w:p>
      <w:pPr>
        <w:pStyle w:val="[Normal]"/>
        <w:spacing w:line="360" w:lineRule="auto"/>
        <w:ind w:firstLine="1134"/>
        <w:jc w:val="both"/>
        <w:rPr>
          <w:lang w:val="es-AR" w:eastAsia="es-AR" w:bidi="es-AR"/>
        </w:rPr>
      </w:pPr>
      <w:r>
        <w:rPr>
          <w:lang w:val="es-AR" w:eastAsia="es-AR" w:bidi="es-AR"/>
        </w:rPr>
        <w:t xml:space="preserve">Costas al apelante perdidoso (arts. 68/9 CPCC).</w:t>
      </w:r>
    </w:p>
    <w:p>
      <w:pPr>
        <w:pStyle w:val="[Normal]"/>
        <w:spacing w:line="360" w:lineRule="auto"/>
        <w:ind w:firstLine="1134"/>
        <w:jc w:val="both"/>
        <w:rPr>
          <w:lang w:val="es-AR" w:eastAsia="es-AR" w:bidi="es-AR"/>
        </w:rPr>
      </w:pPr>
      <w:r>
        <w:rPr>
          <w:lang w:val="es-AR" w:eastAsia="es-AR" w:bidi="es-AR"/>
        </w:rPr>
        <w:t xml:space="preserve">Regístrese. Notifíquese. Devuélvase.-</w:t>
      </w:r>
      <w:r>
        <w:rPr>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03/11/2020 09:32:15 - Bernardo Louise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03/11/2020 09:47:07 - Roberto Manuel Degleue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03/11/2020 09:49:47 -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03/11/2020 11:24:24 - Ana Maria Albornoz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‰8}")è$ƒ</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249302090004992882</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spacing w:line="360" w:lineRule="auto"/>
        <w:ind w:firstLine="1134"/>
      </w:pPr>
    </w:p>
    <w:sectPr>
      <w:headerReference w:type="default" r:id="rId00004"/>
      <w:footerReference w:type="default" r:id="rId00005"/>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variable"/>
    <w:sig w:usb0="E4002EFF" w:usb1="C000247B" w:usb2="00000009" w:usb3="00000000" w:csb0="200001FF"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‰8}")è$ƒ&lt;roŠ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249302090004992882</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character" w:styleId="U">
    <w:name w:val="U"/>
    <w:qFormat/>
    <w:rPr>
      <w:u w:val="single"/>
      <w:rtl w:val="off"/>
      <w:lang w:val="x-none" w:eastAsia="x-none" w:bidi="x-none"/>
    </w:rPr>
  </w:style>
  <w:style w:type="character" w:styleId="STRONG">
    <w:name w:val="STRONG"/>
    <w:qFormat/>
    <w:rPr>
      <w:b/>
      <w:bCs/>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 w:type="character" w:styleId="EM">
    <w:name w:val="EM"/>
    <w:qFormat/>
    <w:rPr>
      <w:i/>
      <w:iCs/>
      <w:rtl w:val="off"/>
      <w:lang w:val="x-none" w:eastAsia="x-none" w:bidi="x-none"/>
    </w:rPr>
  </w:style>
  <w:style w:type="paragraph" w:styleId="Normal">
    <w:name w:val="Normal"/>
    <w:next w:val="Normal"/>
    <w:qFormat/>
    <w:pPr>
      <w:widowControl w:val="on"/>
      <w:shd w:val="clear" w:color="auto" w:fill="auto"/>
      <w:spacing w:before="0" w:after="160" w:line="259" w:lineRule="auto"/>
      <w:ind w:left="0" w:right="0" w:firstLine="0"/>
      <w:jc w:val="left"/>
    </w:pPr>
    <w:rPr>
      <w:rFonts w:ascii="Calibri" w:hAnsi="Calibri" w:eastAsia="Calibri" w:cs="Calibri"/>
      <w:b w:val="off"/>
      <w:bCs w:val="off"/>
      <w:i w:val="off"/>
      <w:iCs w:val="off"/>
      <w:strike w:val="off"/>
      <w:color w:val="auto"/>
      <w:position w:val="0"/>
      <w:sz w:val="22"/>
      <w:szCs w:val="22"/>
      <w:shd w:val="clear" w:color="auto" w:fill="auto"/>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