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lang w:val="es-AR" w:eastAsia="es-AR" w:bidi="es-AR"/>
        </w:rPr>
      </w:pPr>
      <w:r>
        <w:rPr>
          <w:b/>
          <w:lang w:val="es-AR" w:eastAsia="es-AR" w:bidi="es-AR"/>
        </w:rPr>
        <w:t xml:space="preserve">	Registro N° 166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1071/1073</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12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4079-20</w:t>
      </w:r>
      <w:r>
        <w:rPr>
          <w:lang w:val="es-AR" w:eastAsia="es-AR" w:bidi="es-AR"/>
        </w:rPr>
        <w:t xml:space="preserve"> caratulada </w:t>
      </w:r>
      <w:r>
        <w:rPr>
          <w:b/>
          <w:lang w:val="es-AR" w:eastAsia="es-AR" w:bidi="es-AR"/>
        </w:rPr>
        <w:t xml:space="preserve">"</w:t>
      </w:r>
      <w:r>
        <w:rPr>
          <w:b/>
          <w:color w:val="000000"/>
          <w:lang w:val="es-AR" w:eastAsia="es-AR" w:bidi="es-AR"/>
        </w:rPr>
        <w:t xml:space="preserve">FORCAT OSVALDO CESAR Y OTROS  C/ FORCAT OSVALDO CESAR Y OTROS  S/ MATERIA A CATEGORIZAR (274)</w:t>
      </w:r>
      <w:r>
        <w:rPr>
          <w:b/>
          <w:lang w:val="es-AR" w:eastAsia="es-AR" w:bidi="es-AR"/>
        </w:rPr>
        <w:t xml:space="preserve">"</w:t>
      </w:r>
      <w:r>
        <w:rPr>
          <w:lang w:val="es-AR" w:eastAsia="es-AR" w:bidi="es-AR"/>
        </w:rPr>
        <w:t xml:space="preserve">, Expte. N° </w:t>
      </w:r>
      <w:r>
        <w:rPr>
          <w:color w:val="000000"/>
          <w:lang w:val="es-AR" w:eastAsia="es-AR" w:bidi="es-AR"/>
        </w:rPr>
        <w:t xml:space="preserve">73740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Roberto Degleue (ausente por licencia médica) y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Que llegan los autos a esta Alzada por conducto de la denegación de la revisión impetrada y concedida la apelación deducida en subsidio interpuesto por la parte actora contra el auto de fecha 31/07/2020.</w:t>
      </w:r>
    </w:p>
    <w:p>
      <w:pPr>
        <w:pStyle w:val="[Normal]"/>
        <w:spacing w:line="360" w:lineRule="auto"/>
        <w:ind w:firstLine="1134"/>
        <w:jc w:val="both"/>
        <w:rPr>
          <w:lang w:val="es-AR" w:eastAsia="es-AR" w:bidi="es-AR"/>
        </w:rPr>
      </w:pPr>
      <w:r>
        <w:rPr>
          <w:lang w:val="es-AR" w:eastAsia="es-AR" w:bidi="es-AR"/>
        </w:rPr>
        <w:t xml:space="preserve">La providencia atacada, deviene de la liquidación realizada por el Actuario y sobre ella el juzgador primero  toma dicha liquidación e intima a los obligados al pago de las costas, para que en el término de cinco (5) días, procedan a tributar la suma de treinta y cinco mil quinientos setenta y siete pesos con 88/100 centavos ($35.577,88), correspondiente a la tasa por el servicio de justicia prestado en autos, bajo apercibimiento de lo dispuesto por el art. 340 del Código Fiscal (Ley 10.397).</w:t>
      </w:r>
    </w:p>
    <w:p>
      <w:pPr>
        <w:pStyle w:val="[Normal]"/>
        <w:spacing w:line="360" w:lineRule="auto"/>
        <w:ind w:firstLine="1134"/>
        <w:jc w:val="both"/>
        <w:rPr>
          <w:lang w:val="es-AR" w:eastAsia="es-AR" w:bidi="es-AR"/>
        </w:rPr>
      </w:pPr>
      <w:r>
        <w:rPr>
          <w:lang w:val="es-AR" w:eastAsia="es-AR" w:bidi="es-AR"/>
        </w:rPr>
        <w:t xml:space="preserve">La parte actora interpone recurso de revisión y de apelación en subsidio. Se agravia primeramente en relación a la intimación al pago de la tasa de justicia con fundamento en el hecho, que en los autos principales caratulados "Petri, Edilia Carmen s/Sucesión Ab Intestato", expte. N°19.385, en oportunidad de denunciarse los bienes integrantes de acervo hereditario, se tributó.</w:t>
      </w:r>
    </w:p>
    <w:p>
      <w:pPr>
        <w:pStyle w:val="[Normal]"/>
        <w:spacing w:line="360" w:lineRule="auto"/>
        <w:ind w:firstLine="1134"/>
        <w:jc w:val="both"/>
        <w:rPr>
          <w:lang w:val="es-AR" w:eastAsia="es-AR" w:bidi="es-AR"/>
        </w:rPr>
      </w:pPr>
      <w:r>
        <w:rPr>
          <w:lang w:val="es-AR" w:eastAsia="es-AR" w:bidi="es-AR"/>
        </w:rPr>
        <w:t xml:space="preserve">Que tributar en la presente  causa  sobre la  exclusión de referido  bien, importaría una doble imposición tributaria lo que resulta improcedente y que las presentes constituyen un incidente conexo de la causa principal y éstos no se hallan alcanzados por el tributo.</w:t>
      </w:r>
    </w:p>
    <w:p>
      <w:pPr>
        <w:pStyle w:val="[Normal]"/>
        <w:spacing w:line="360" w:lineRule="auto"/>
        <w:ind w:firstLine="1134"/>
        <w:jc w:val="both"/>
        <w:rPr>
          <w:lang w:val="es-AR" w:eastAsia="es-AR" w:bidi="es-AR"/>
        </w:rPr>
      </w:pPr>
      <w:r>
        <w:rPr>
          <w:lang w:val="es-AR" w:eastAsia="es-AR" w:bidi="es-AR"/>
        </w:rPr>
        <w:t xml:space="preserve">Seguidamente, impugna la liquidación efectuada, en tanto que como  consecuencia de las presentes actuaciones, se excluyó el 50% del bien inmueble y por ello el cálculo no corresponde se efectúe sobre el 100%.</w:t>
      </w:r>
    </w:p>
    <w:p>
      <w:pPr>
        <w:pStyle w:val="[Normal]"/>
        <w:spacing w:line="360" w:lineRule="auto"/>
        <w:ind w:firstLine="1134"/>
        <w:jc w:val="both"/>
        <w:rPr>
          <w:lang w:val="es-AR" w:eastAsia="es-AR" w:bidi="es-AR"/>
        </w:rPr>
      </w:pPr>
      <w:r>
        <w:rPr>
          <w:lang w:val="es-AR" w:eastAsia="es-AR" w:bidi="es-AR"/>
        </w:rPr>
        <w:t xml:space="preserve">También critica, la suma que arroja la liquidación por cuanto el 2,2% a tributar sobre la suma de $1.347.647 resulta inferior a la liquidada.</w:t>
      </w:r>
    </w:p>
    <w:p>
      <w:pPr>
        <w:pStyle w:val="[Normal]"/>
        <w:spacing w:line="360" w:lineRule="auto"/>
        <w:ind w:firstLine="1134"/>
        <w:jc w:val="both"/>
        <w:rPr>
          <w:lang w:val="es-AR" w:eastAsia="es-AR" w:bidi="es-AR"/>
        </w:rPr>
      </w:pPr>
      <w:r>
        <w:rPr>
          <w:lang w:val="es-AR" w:eastAsia="es-AR" w:bidi="es-AR"/>
        </w:rPr>
        <w:t xml:space="preserve">Del presente, se corrió traslado a la Titular del Departamento de Cobro de Honorarios de Peritos Oficiales y Ejecución Tasa de Justicia Departamental, Dra. Valeria Furnari quien entiende que, por la naturaleza jurídica de los incidentes, como materia accesoria que son, no están sujetos al pago de la tasa de justicia atento la ausencia de previsión expresa en la ley 10.397.</w:t>
      </w:r>
    </w:p>
    <w:p>
      <w:pPr>
        <w:pStyle w:val="[Normal]"/>
        <w:spacing w:line="360" w:lineRule="auto"/>
        <w:ind w:firstLine="1134"/>
        <w:jc w:val="both"/>
        <w:rPr>
          <w:lang w:val="es-AR" w:eastAsia="es-AR" w:bidi="es-AR"/>
        </w:rPr>
      </w:pPr>
      <w:r>
        <w:rPr>
          <w:lang w:val="es-AR" w:eastAsia="es-AR" w:bidi="es-AR"/>
        </w:rPr>
        <w:t xml:space="preserve"> El Sr. juez a quo, resolvió la revisión impetrada y confirmó parcialmente el auto recurrido, ratificando la obligación de abonar la tasa de justicia devengada en estos autos (con la salvedad que se modifica su monto); y acogió la impugnación de la liquidación que fuera practicada en fecha 31/7/2020, receptando la liquidación efectuada por los recurrentes, que arroja la suma de $29.648,24 en concepto de tasa de justicia devengada en esta casa (conf. art. 337 inc "d" de la ley 10.397 y sus modificatorias). </w:t>
      </w:r>
    </w:p>
    <w:p>
      <w:pPr>
        <w:pStyle w:val="[Normal]"/>
        <w:spacing w:line="360" w:lineRule="auto"/>
        <w:ind w:firstLine="1134"/>
        <w:jc w:val="both"/>
        <w:rPr>
          <w:lang w:val="es-AR" w:eastAsia="es-AR" w:bidi="es-AR"/>
        </w:rPr>
      </w:pPr>
      <w:r>
        <w:rPr>
          <w:lang w:val="es-AR" w:eastAsia="es-AR" w:bidi="es-AR"/>
        </w:rPr>
        <w:t xml:space="preserve">Para resolver la confirmación del pago de la tasa de justicia, sucintamente entendió que la cuestión queda encuadrada en el art. 37 inc. d) de la normativa Fiscal que dispone las base para la tributación de la tasa de justicia en los juicios que tengan por objeto, adquirir, conservar o recuperar la propiedad o posesión de los bienes inmuebles o su división y por su parte el art. 343 del mismo cuerpo legal, no incluye a las presentes actuaciones dentro de las excepciones que prevé. Dijo además, que este trámite constituye un nuevo requerimiento de distinta entidad procesal del sucesorio donde oportunamente se denunció el bien.</w:t>
      </w:r>
    </w:p>
    <w:p>
      <w:pPr>
        <w:pStyle w:val="[Normal]"/>
        <w:spacing w:line="360" w:lineRule="auto"/>
        <w:ind w:firstLine="1134"/>
        <w:jc w:val="both"/>
        <w:rPr>
          <w:lang w:val="es-AR" w:eastAsia="es-AR" w:bidi="es-AR"/>
        </w:rPr>
      </w:pPr>
      <w:r>
        <w:rPr>
          <w:lang w:val="es-AR" w:eastAsia="es-AR" w:bidi="es-AR"/>
        </w:rPr>
        <w:t xml:space="preserve">También desestima la petición en relación a la pretensión de pago del 50%, por cuanto el proceso trató sobre la exclusión del inmueble y finalmente recepta la revisión en punto al monto o porcentaje liquidado aceptando correcto el cálculo realizado por el recurrente.</w:t>
      </w:r>
    </w:p>
    <w:p>
      <w:pPr>
        <w:pStyle w:val="[Normal]"/>
        <w:spacing w:line="360" w:lineRule="auto"/>
        <w:ind w:firstLine="1134"/>
        <w:jc w:val="both"/>
        <w:rPr>
          <w:lang w:val="es-AR" w:eastAsia="es-AR" w:bidi="es-AR"/>
        </w:rPr>
      </w:pPr>
      <w:r>
        <w:rPr>
          <w:lang w:val="es-AR" w:eastAsia="es-AR" w:bidi="es-AR"/>
        </w:rPr>
        <w:t xml:space="preserve">Llamados los autos a resolver en fecha 29 de septiembre de 2020 y hallándose firme la providencia, la causa queda en condiciones de ser resuelta.</w:t>
      </w:r>
    </w:p>
    <w:p>
      <w:pPr>
        <w:pStyle w:val="[Normal]"/>
        <w:spacing w:line="360" w:lineRule="auto"/>
        <w:ind w:firstLine="1134"/>
        <w:jc w:val="both"/>
        <w:rPr>
          <w:lang w:val="es-AR" w:eastAsia="es-AR" w:bidi="es-AR"/>
        </w:rPr>
      </w:pPr>
      <w:r>
        <w:rPr>
          <w:b/>
          <w:lang w:val="es-AR" w:eastAsia="es-AR" w:bidi="es-AR"/>
        </w:rPr>
        <w:t xml:space="preserve">a)</w:t>
      </w:r>
      <w:r>
        <w:rPr>
          <w:lang w:val="es-AR" w:eastAsia="es-AR" w:bidi="es-AR"/>
        </w:rPr>
        <w:t xml:space="preserve"> Que, los actores de autos Sres. Osvaldo Cesar Forcat, la Sra. Laura Beatriz Forcat, la Sra.Silvina Analia Forcat y el Sr. Nelson Ariel Forcat, promueven el presente incidente de exclusión de bienes en relación al inmueble cuyos datos catastrales son: Circ. XII, Parc. 1553 "a", partida inmobiliaria 082-3024, inscripta bajo la matrícula 265 del partido de Pergamino, que fuera denunciado como integrante del acervo hereditario de Doña Edilia Carmen Petri, solicitando la cancelación de dominio respectiva.</w:t>
      </w:r>
    </w:p>
    <w:p>
      <w:pPr>
        <w:pStyle w:val="[Normal]"/>
        <w:spacing w:line="360" w:lineRule="auto"/>
        <w:ind w:firstLine="1134"/>
        <w:jc w:val="both"/>
        <w:rPr>
          <w:lang w:val="es-AR" w:eastAsia="es-AR" w:bidi="es-AR"/>
        </w:rPr>
      </w:pPr>
      <w:r>
        <w:rPr>
          <w:lang w:val="es-AR" w:eastAsia="es-AR" w:bidi="es-AR"/>
        </w:rPr>
        <w:t xml:space="preserve">La parte demandada conformada por el Sr. Osvaldo Cesar Forcat, la Sra. Laura Beatriz Forcat, la Sra. Silvina Analia Forcat y el Sr. Nelson Ariel Forcat, comparten los fundamentos brindados por la parte accionante.</w:t>
      </w:r>
    </w:p>
    <w:p>
      <w:pPr>
        <w:pStyle w:val="[Normal]"/>
        <w:spacing w:line="360" w:lineRule="auto"/>
        <w:ind w:firstLine="1134"/>
        <w:jc w:val="both"/>
        <w:rPr>
          <w:lang w:val="es-AR" w:eastAsia="es-AR" w:bidi="es-AR"/>
        </w:rPr>
      </w:pPr>
      <w:r>
        <w:rPr>
          <w:lang w:val="es-AR" w:eastAsia="es-AR" w:bidi="es-AR"/>
        </w:rPr>
        <w:t xml:space="preserve">En su oportunidad, se dicta sentencia y se hace  lugar al incidente de exclusión de bienes incoado por la parte actora y excluye como integrante del acervo hereditario de Doña Edilia Carmen Petri al bien inmueble cuyos datos catastrales son: Circ. XII, Parc. 1553 "a", partida inmobiliaria 082-3024, inscripta bajo la matrícula 265 del partido de Pergamino, ordenando la cancelación de la inscripción de declaratoria de herederos dictada en la causa "Petri Edilia Carmen s/Sucesión Ab-Intestato.</w:t>
      </w:r>
    </w:p>
    <w:p>
      <w:pPr>
        <w:pStyle w:val="[Normal]"/>
        <w:spacing w:line="360" w:lineRule="auto"/>
        <w:ind w:firstLine="1134"/>
        <w:jc w:val="both"/>
        <w:rPr>
          <w:lang w:val="es-AR" w:eastAsia="es-AR" w:bidi="es-AR"/>
        </w:rPr>
      </w:pPr>
      <w:r>
        <w:rPr>
          <w:lang w:val="es-AR" w:eastAsia="es-AR" w:bidi="es-AR"/>
        </w:rPr>
        <w:t xml:space="preserve">Reseñados así los antecedentes que informan la causa, entiendo que el recurso de apelación ha de ser recibido.</w:t>
      </w:r>
    </w:p>
    <w:p>
      <w:pPr>
        <w:pStyle w:val="[Normal]"/>
        <w:spacing w:line="360" w:lineRule="auto"/>
        <w:ind w:firstLine="1134"/>
        <w:jc w:val="both"/>
        <w:rPr>
          <w:lang w:val="es-AR" w:eastAsia="es-AR" w:bidi="es-AR"/>
        </w:rPr>
      </w:pPr>
      <w:r>
        <w:rPr>
          <w:lang w:val="es-AR" w:eastAsia="es-AR" w:bidi="es-AR"/>
        </w:rPr>
        <w:t xml:space="preserve">En efecto, el art. 337 de la Ley Fiscal establece que por los servicios que preste la Justicia se deberán tributar tasas de acuerdo con la naturaleza y cuantía de los procesos, con la aplicación de las siguientes normas: d) En base a la valuación fiscal en los juicios que tengan por objeto adquirir, conservar o recuperar la propiedad o posesión de bienes inmuebles o su división.</w:t>
      </w:r>
    </w:p>
    <w:p>
      <w:pPr>
        <w:pStyle w:val="[Normal]"/>
        <w:spacing w:line="360" w:lineRule="auto"/>
        <w:ind w:firstLine="1134"/>
        <w:jc w:val="both"/>
        <w:rPr>
          <w:lang w:val="es-AR" w:eastAsia="es-AR" w:bidi="es-AR"/>
        </w:rPr>
      </w:pPr>
      <w:r>
        <w:rPr>
          <w:lang w:val="es-AR" w:eastAsia="es-AR" w:bidi="es-AR"/>
        </w:rPr>
        <w:t xml:space="preserve">Ello es así, empero el legislador Provincial, estableció que las reclamaciones de los herederos o terceros sobre inclusión o exclusión de bienes en el inventario se sustanciará por el trámite de los incidentes (art. 760 CPC.).</w:t>
      </w:r>
    </w:p>
    <w:p>
      <w:pPr>
        <w:pStyle w:val="[Normal]"/>
        <w:spacing w:line="360" w:lineRule="auto"/>
        <w:ind w:firstLine="1134"/>
        <w:jc w:val="both"/>
        <w:rPr>
          <w:lang w:val="es-AR" w:eastAsia="es-AR" w:bidi="es-AR"/>
        </w:rPr>
      </w:pPr>
      <w:r>
        <w:rPr>
          <w:lang w:val="es-AR" w:eastAsia="es-AR" w:bidi="es-AR"/>
        </w:rPr>
        <w:t xml:space="preserve">No obstante ello, la jurisprudencia y la doctrina han admitido, que por la misma naturaleza de la cuestión a debatirse se admita el proceso sumario (cfr. Morello: Cods. T. IX A. p 411, Cám. Apel. Morón en Der. v. 107 p. 584) y como se da en autos al trámite se le imprimió el del proceso sumario, más ello no desnaturaliza la cuestión central, que el presente es accesorio, conexo del juicio principal.</w:t>
      </w:r>
    </w:p>
    <w:p>
      <w:pPr>
        <w:pStyle w:val="[Normal]"/>
        <w:spacing w:line="360" w:lineRule="auto"/>
        <w:ind w:firstLine="1134"/>
        <w:jc w:val="both"/>
        <w:rPr>
          <w:lang w:val="es-AR" w:eastAsia="es-AR" w:bidi="es-AR"/>
        </w:rPr>
      </w:pPr>
      <w:r>
        <w:rPr>
          <w:lang w:val="es-AR" w:eastAsia="es-AR" w:bidi="es-AR"/>
        </w:rPr>
        <w:t xml:space="preserve">En efecto, el reclamo lo es en punto al inventario de los bienes declarados en el proceso sucesorio (principal) al que accede al presente pretendiendo modificar lo inventariado. Así se ha expresado "...que son incidentes todos los acontecimientos que sobrevienen accesoriamente durante el curso de la instancia, o aquellas cuestiones que se suscitan en la tramitación del pleito y que tienen alguna vinculación con él..." (cfr. Morello. Códs. T. II C. p. 396). Y así, el art, 175 de nuestro Código Adjetivo establece que "... toda cuestión que tuviere relación con el objeto principal del pleito y no se hallare sometido a un procedimiento especial, tramitará en piezas separadas, en la forma prevista por las disposiciones de este capítulo... ". Y así, la naturaleza incidental del presente que trae consecuencias en el proceso sucesorio repercute en él y tan vinculados están ambos que la misma Ley Procesal, en el art. 6 inc. 1 establece que el juez competente es el del proceso principal.</w:t>
      </w:r>
    </w:p>
    <w:p>
      <w:pPr>
        <w:pStyle w:val="[Normal]"/>
        <w:spacing w:line="360" w:lineRule="auto"/>
        <w:ind w:firstLine="1134"/>
        <w:jc w:val="both"/>
        <w:rPr>
          <w:lang w:val="es-AR" w:eastAsia="es-AR" w:bidi="es-AR"/>
        </w:rPr>
      </w:pPr>
      <w:r>
        <w:rPr>
          <w:lang w:val="es-AR" w:eastAsia="es-AR" w:bidi="es-AR"/>
        </w:rPr>
        <w:t xml:space="preserve">Despejada así, que el presente trámite, más allá que se ajustó a las reglas del proceso sumario (art. 320 CPC.), tiene vinculación directa con el proceso sucesorio donde las consecuencias del presente en aquél se sentirán y ello es por su naturaleza incidental y accesorio al proceso principal al que accede. Y en relación a la tasa de justicia en este tipo de procesos, esta Alzada ya se ha expedido al efecto  en el sentido que "... Los incidentes, como materia accesoria (arg. art. 175 del C.P.C.), no están sujetos al pago de la tasa con independencia de la que corresponda a las actuaciones principales, máxime ante la ausencia de previsión expresa de la ley 10.397 y sus modificatorias que así lo imponga " (CC0000 PE C 3459 RSI-31-00 I 07/03/2000 B2801045)..." CAP.  C: N° 3291-18, CAP. Causa C-3459/00, CAP. C: C5531).</w:t>
      </w:r>
    </w:p>
    <w:p>
      <w:pPr>
        <w:pStyle w:val="[Normal]"/>
        <w:spacing w:line="360" w:lineRule="auto"/>
        <w:ind w:firstLine="1134"/>
        <w:jc w:val="both"/>
        <w:rPr>
          <w:lang w:val="es-AR" w:eastAsia="es-AR" w:bidi="es-AR"/>
        </w:rPr>
      </w:pPr>
      <w:r>
        <w:rPr>
          <w:lang w:val="es-AR" w:eastAsia="es-AR" w:bidi="es-AR"/>
        </w:rPr>
        <w:t xml:space="preserve">Así las cosas corresponde revocar el auto apelado en tal sentido y atento el modo de resolverse la cuestión hace que el segundo de los agravios devenga abstracto, y por ello nada decir al efecto toda vez que se le haya vedado a los jueces hacer declaraciones de tal naturaleza.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auto atacado en cuanto intima al pago de la tasa de justicia.</w:t>
      </w:r>
    </w:p>
    <w:p>
      <w:pPr>
        <w:pStyle w:val="[Normal]"/>
        <w:spacing w:line="360" w:lineRule="auto"/>
        <w:ind w:firstLine="1134"/>
        <w:jc w:val="both"/>
        <w:rPr>
          <w:lang w:val="es-AR" w:eastAsia="es-AR" w:bidi="es-AR"/>
        </w:rPr>
      </w:pPr>
      <w:r>
        <w:rPr>
          <w:lang w:val="es-AR" w:eastAsia="es-AR" w:bidi="es-AR"/>
        </w:rPr>
        <w:t xml:space="preserve">Sin costas atento no haber controversia (art. 68 CPC.).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Sra. Jueza </w:t>
      </w:r>
      <w:r>
        <w:rPr>
          <w:color w:val="000000"/>
          <w:lang w:val="es-AR" w:eastAsia="es-AR" w:bidi="es-AR"/>
        </w:rPr>
        <w:t xml:space="preserve">Graciela Scaraffia</w:t>
      </w:r>
      <w:r>
        <w:rPr>
          <w:lang w:val="es-AR" w:eastAsia="es-AR" w:bidi="es-AR"/>
        </w:rPr>
        <w:t xml:space="preserv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auto atacado en cuanto intima al pago de la tasa de justicia.</w:t>
      </w:r>
    </w:p>
    <w:p>
      <w:pPr>
        <w:pStyle w:val="[Normal]"/>
        <w:spacing w:line="360" w:lineRule="auto"/>
        <w:ind w:firstLine="1134"/>
        <w:jc w:val="both"/>
        <w:rPr>
          <w:lang w:val="es-AR" w:eastAsia="es-AR" w:bidi="es-AR"/>
        </w:rPr>
      </w:pPr>
      <w:r>
        <w:rPr>
          <w:lang w:val="es-AR" w:eastAsia="es-AR" w:bidi="es-AR"/>
        </w:rPr>
        <w:t xml:space="preserve">Sin costas atento no haber controversia (art. 68 CPC.).</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12/11/2020 09:22:21 -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12/11/2020 09:24:55 -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12/11/2020 11:33:23 -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‰7!")è%èQ.†Š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230102090005004914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‰7!")è%èQ.†Š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230102090005004914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