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r>
        <w:rPr>
          <w:b/>
          <w:lang w:val="es-AR" w:eastAsia="es-AR" w:bidi="es-AR"/>
        </w:rPr>
        <w:t xml:space="preserve">	Registro N° 167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Folio  1074/1080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12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4111-20</w:t>
      </w:r>
      <w:r>
        <w:rPr>
          <w:lang w:val="es-AR" w:eastAsia="es-AR" w:bidi="es-AR"/>
        </w:rPr>
        <w:t xml:space="preserve"> caratulada </w:t>
      </w:r>
      <w:r>
        <w:rPr>
          <w:b/>
          <w:lang w:val="es-AR" w:eastAsia="es-AR" w:bidi="es-AR"/>
        </w:rPr>
        <w:t xml:space="preserve">"</w:t>
      </w:r>
      <w:r>
        <w:rPr>
          <w:b/>
          <w:color w:val="000000"/>
          <w:lang w:val="es-AR" w:eastAsia="es-AR" w:bidi="es-AR"/>
        </w:rPr>
        <w:t xml:space="preserve">ZAPATA MAXIMILIANO ENRIQUE  C/ I.N.S.S.J.P - P.A.M.I. S/ AMPARO</w:t>
      </w:r>
      <w:r>
        <w:rPr>
          <w:b/>
          <w:lang w:val="es-AR" w:eastAsia="es-AR" w:bidi="es-AR"/>
        </w:rPr>
        <w:t xml:space="preserve">"</w:t>
      </w:r>
      <w:r>
        <w:rPr>
          <w:lang w:val="es-AR" w:eastAsia="es-AR" w:bidi="es-AR"/>
        </w:rPr>
        <w:t xml:space="preserve">, Expte. 8657 </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Contencioso Administrativo de Pergamino</w:t>
      </w:r>
      <w:r>
        <w:rPr>
          <w:lang w:val="es-AR" w:eastAsia="es-AR" w:bidi="es-AR"/>
        </w:rPr>
        <w:t xml:space="preserve">, se practicó el sorteo de ley que determinó que la votación debía efectuarse en el siguiente orden: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1) ¿Resulta justa la sentencia apelada?</w:t>
      </w:r>
    </w:p>
    <w:p>
      <w:pPr>
        <w:pStyle w:val="[Normal]"/>
        <w:spacing w:line="360" w:lineRule="auto"/>
        <w:ind w:firstLine="1134"/>
        <w:jc w:val="both"/>
        <w:rPr>
          <w:lang w:val="es-AR" w:eastAsia="es-AR" w:bidi="es-AR"/>
        </w:rPr>
      </w:pPr>
      <w:r>
        <w:rPr>
          <w:lang w:val="es-AR" w:eastAsia="es-AR" w:bidi="es-AR"/>
        </w:rPr>
        <w:t xml:space="preserve">3)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w:t>
      </w:r>
    </w:p>
    <w:p>
      <w:pPr>
        <w:pStyle w:val="[Normal]"/>
        <w:spacing w:line="360" w:lineRule="auto"/>
        <w:ind w:firstLine="1134"/>
        <w:jc w:val="both"/>
        <w:rPr>
          <w:lang w:val="es-AR" w:eastAsia="es-AR" w:bidi="es-AR"/>
        </w:rPr>
      </w:pPr>
      <w:r>
        <w:rPr>
          <w:color w:val="000000"/>
          <w:lang w:val="es-AR" w:eastAsia="es-AR" w:bidi="es-AR"/>
        </w:rPr>
        <w:t xml:space="preserve">El Sr. Juez de Primera Instancia en lo Contencioso Administrativo de este Departamento Judicial se declaró incompetente </w:t>
      </w:r>
      <w:r>
        <w:rPr>
          <w:lang w:val="es-AR" w:eastAsia="es-AR" w:bidi="es-AR"/>
        </w:rPr>
        <w:t xml:space="preserve">para entender en la presente acción de amparo por considerar que el sujeto demandado (Instituto Nacional de Servicios Sociales para Jubilados y Pensionados  -I.N.S.S.J.P.-, regido por la Ley Nacional Nº 19.032) ingresaba dentro del ámbito subjetivo de la Justicia Federal atento al alcance nacional del ente demandado siguiendo en tal sentido jurisprudencia del Máximo Tribunal Argentino.</w:t>
      </w:r>
    </w:p>
    <w:p>
      <w:pPr>
        <w:pStyle w:val="[Normal]"/>
        <w:tabs>
          <w:tab w:val="left" w:pos="0"/>
          <w:tab w:val="left" w:pos="850"/>
          <w:tab w:val="left" w:pos="1700"/>
          <w:tab w:val="left" w:pos="2550"/>
          <w:tab w:val="left" w:pos="3400"/>
          <w:tab w:val="left" w:pos="4250"/>
          <w:tab w:val="left" w:pos="5100"/>
          <w:tab w:val="left" w:pos="5950"/>
          <w:tab w:val="left" w:pos="6800"/>
          <w:tab w:val="left" w:pos="7650"/>
          <w:tab w:val="left" w:pos="8500"/>
          <w:tab w:val="left" w:pos="9350"/>
          <w:tab w:val="left" w:pos="10200"/>
          <w:tab w:val="left" w:pos="1105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jc w:val="both"/>
        <w:rPr>
          <w:lang w:val="es-AR" w:eastAsia="es-AR" w:bidi="es-AR"/>
        </w:rPr>
      </w:pPr>
      <w:r>
        <w:rPr>
          <w:lang w:val="es-AR" w:eastAsia="es-AR" w:bidi="es-AR"/>
        </w:rPr>
        <w:t xml:space="preserve"> 	Sin perjuicio de ello, resolvió respecto al pedido cautelar oportunamente formulado por la parte actora atento a la habilitación excepcional que el art. 196 del CPCCBA prevé en favor de los jueces incompetentes para despachar medidas precautorias. En tal sentido, el Juez de origen decretó una “medida precautelar” tendiente a evitar la consumación de un perjuicio o agravamiento en la salud del amparista, y disponer que la demandada proceda a brindar la cobertura total e integral de la medicación requerida (esto es: "Riluzol 50 mg"), en la medida dispuesta por su médico tratante -conforme se describe en el escrito inicial- por el plazo de tres (3) meses, o hasta tanto el Juez que en definitiva entienda, resuelva la pretensión cautelar, si ello sucediere antes. </w:t>
      </w:r>
    </w:p>
    <w:p>
      <w:pPr>
        <w:pStyle w:val="[Normal]"/>
        <w:spacing w:line="360" w:lineRule="auto"/>
        <w:ind w:firstLine="1134"/>
        <w:jc w:val="both"/>
        <w:rPr>
          <w:lang w:val="es-AR" w:eastAsia="es-AR" w:bidi="es-AR"/>
        </w:rPr>
      </w:pPr>
      <w:r>
        <w:rPr>
          <w:lang w:val="es-AR" w:eastAsia="es-AR" w:bidi="es-AR"/>
        </w:rPr>
        <w:t xml:space="preserve">Contra la resolución precitada, el representante legal de la demandada interpuso recurso de revocatoria con apelación en subsidio mediante escrito electrónico de fecha 20/12/2019. En sustento de su pretensión recursiva, el letrado interviniente planteó en primer término la incompetencia del órgano decisor. 	</w:t>
        <w:br w:type="textWrapping"/>
      </w:r>
      <w:r>
        <w:rPr>
          <w:lang w:val="es-AR" w:eastAsia="es-AR" w:bidi="es-AR"/>
        </w:rPr>
        <w:t xml:space="preserve"> 	En lo sustancial, y sintetizando el núcleo de la crítica recursiva, la parte demandada se agravia de que el a quo </w:t>
      </w:r>
      <w:r>
        <w:rPr>
          <w:rStyle w:val="EM"/>
          <w:i w:val="off"/>
          <w:lang w:val="es-AR" w:eastAsia="es-AR" w:bidi="es-AR"/>
        </w:rPr>
        <w:t xml:space="preserve">haya decretado</w:t>
      </w:r>
      <w:r>
        <w:rPr>
          <w:rStyle w:val="EM"/>
          <w:lang w:val="es-AR" w:eastAsia="es-AR" w:bidi="es-AR"/>
        </w:rPr>
        <w:t xml:space="preserve">  </w:t>
      </w:r>
      <w:r>
        <w:rPr>
          <w:lang w:val="es-AR" w:eastAsia="es-AR" w:bidi="es-AR"/>
        </w:rPr>
        <w:t xml:space="preserve">la medida cautelar señalando  que el Instituto no incumplió con lo requerido, toda vez que el insumo se encontraría en proceso de compra conforme la normativa del Instituto. También se duele de que el juez sólo haya dictado la medida cautelar sin considerar los dichos de su parte, y no la haya rechazado atento que el actor no acreditó el incumplimiento del Instituto como así tampoco conductas arbitrarias o ilegales que pudieran presumir un peligro o riesgo de vida en el beneficiario mayores a los de su cuadro clínico. Finalmente, expresa su disconformidad en razón de que el Juzgador primero limitó el carácter bilateral del recurso de amparo a la pretensión de los distintos actores.</w:t>
      </w:r>
    </w:p>
    <w:p>
      <w:pPr>
        <w:pStyle w:val="[Normal]"/>
        <w:spacing w:line="360" w:lineRule="auto"/>
        <w:ind w:firstLine="1134"/>
        <w:jc w:val="both"/>
        <w:rPr>
          <w:lang w:val="es-AR" w:eastAsia="es-AR" w:bidi="es-AR"/>
        </w:rPr>
      </w:pPr>
      <w:r>
        <w:rPr>
          <w:lang w:val="es-AR" w:eastAsia="es-AR" w:bidi="es-AR"/>
        </w:rPr>
        <w:t xml:space="preserve">Mediante resolución electrónica de fecha 23 de Diciembre de 2019, el Juez de grado desestimó la revocatoria incoada por entender que el remedio recursivo de reposición no se encuentra contemplado en la ley 13.928 por lo que el mismo devenía improcedente. Sin perjuicio de ello, concedió el recurso de apelación en subsidio y lo tuvo por fundado con su presentación de 20/12/2019.</w:t>
      </w:r>
    </w:p>
    <w:p>
      <w:pPr>
        <w:pStyle w:val="[Normal]"/>
        <w:spacing w:line="360" w:lineRule="auto"/>
        <w:ind w:firstLine="1134"/>
        <w:jc w:val="both"/>
        <w:rPr>
          <w:lang w:val="es-AR" w:eastAsia="es-AR" w:bidi="es-AR"/>
        </w:rPr>
      </w:pPr>
      <w:r>
        <w:rPr>
          <w:lang w:val="es-AR" w:eastAsia="es-AR" w:bidi="es-AR"/>
        </w:rPr>
        <w:t xml:space="preserve">Mediante escrito electrónico de fecha 11 de Marzo de 2020, la parte actora evacuó el traslado correspondiente al recurso de apelación subsidiaria y contestó los agravios expuestos por el letrado apoderado de la accionada, argumentando en pro de la concurrencia de los requisitos de procedencia de la medida precautoria dispuesta y la falta de fundamento de la crítica esbozada por el apelante.</w:t>
      </w:r>
    </w:p>
    <w:p>
      <w:pPr>
        <w:pStyle w:val="[Normal]"/>
        <w:spacing w:line="360" w:lineRule="auto"/>
        <w:jc w:val="both"/>
        <w:rPr>
          <w:lang w:val="es-AR" w:eastAsia="es-AR" w:bidi="es-AR"/>
        </w:rPr>
      </w:pPr>
      <w:r>
        <w:rPr>
          <w:lang w:val="es-AR" w:eastAsia="es-AR" w:bidi="es-AR"/>
        </w:rPr>
        <w:t xml:space="preserve"> 	En fecha 21 de Octubre de 2020, la Secretaría del Juzgado Contencioso Administrativo  interviniente a cargo de la Dra. Giorgia Basílico dejó constancia mediante informe actuarial de que la causa había quedado pendiente de remisión a esta Alzada a fin del tratamiento del recurso de apelación interpuesto por la parte demandada a fs. 66/85 respecto a la medida cautelar dispuesta en la Resolución de fs. 46/47.</w:t>
      </w:r>
    </w:p>
    <w:p>
      <w:pPr>
        <w:pStyle w:val="[Normal]"/>
        <w:tabs>
          <w:tab w:val="left" w:pos="3174"/>
          <w:tab w:val="clear" w:pos="15876"/>
        </w:tabs>
        <w:spacing w:line="454" w:lineRule="atLeast"/>
        <w:jc w:val="both"/>
        <w:rPr>
          <w:i/>
          <w:lang w:val="es-AR" w:eastAsia="es-AR" w:bidi="es-AR"/>
        </w:rPr>
      </w:pPr>
      <w:r>
        <w:rPr>
          <w:color w:val="000000"/>
          <w:lang w:val="es-AR" w:eastAsia="es-AR" w:bidi="es-AR"/>
        </w:rPr>
        <w:t xml:space="preserve"> 	Que en providencia dictada en la misma fecha, el Juez de grado resolvió elevar las actuaciones </w:t>
      </w:r>
      <w:r>
        <w:rPr>
          <w:lang w:val="es-AR" w:eastAsia="es-AR" w:bidi="es-AR"/>
        </w:rPr>
        <w:t xml:space="preserve">a fin de que se trate al recurso de apelación interpuesto por la demandada a fs. 66/85, y contestado que fuera por la actora a fs. 90/96, elevó las presentes actuaciones a esta Cámara de Apelaciones en lo Civil y Comercial Departamental. En sustento de la competencia recursiva invocada, el Juez de grado hizo alusión a lo resuelto por la Excma. Cámara de Apelación en lo Contencioso Administrativo de San Nicolás en autos "Villaruel Atilia R. c/ O.S.P.R.E.R.A. s/ Amparo": </w:t>
      </w:r>
      <w:r>
        <w:rPr>
          <w:i/>
          <w:lang w:val="es-AR" w:eastAsia="es-AR" w:bidi="es-AR"/>
        </w:rPr>
        <w:t xml:space="preserve">" ...en el caso de autos no se configura materia administrativa en cuestión, ergo, no resulta competente esta Cámara para entender en los presentes (art. 19 ley 7166, segun Ley 13.101). II .- Por lo tanto, y en su virtud, esta alzada no resulta competente para entender en el remedio recursivo deducido..." (conf. asimismo art. 19 de la Ley 7166 y criterio de la SCBA en la causa "Asoc. Miguel Bru" del 25/03/09)".</w:t>
      </w:r>
    </w:p>
    <w:p>
      <w:pPr>
        <w:pStyle w:val="[Normal]"/>
        <w:tabs>
          <w:tab w:val="left" w:pos="3174"/>
          <w:tab w:val="clear" w:pos="15876"/>
        </w:tabs>
        <w:spacing w:line="454" w:lineRule="atLeast"/>
        <w:jc w:val="both"/>
        <w:rPr>
          <w:lang w:val="es-AR" w:eastAsia="es-AR" w:bidi="es-AR"/>
        </w:rPr>
      </w:pPr>
      <w:r>
        <w:rPr>
          <w:i/>
          <w:lang w:val="es-AR" w:eastAsia="es-AR" w:bidi="es-AR"/>
        </w:rPr>
        <w:t xml:space="preserve"> 	</w:t>
      </w:r>
      <w:r>
        <w:rPr>
          <w:lang w:val="es-AR" w:eastAsia="es-AR" w:bidi="es-AR"/>
        </w:rPr>
        <w:t xml:space="preserve">En fecha 27 de Octubre de 2020, ingresaron las presentes actuaciones a esta Cámara de Apelaciones.</w:t>
      </w:r>
    </w:p>
    <w:p>
      <w:pPr>
        <w:pStyle w:val="[Normal]"/>
        <w:tabs>
          <w:tab w:val="left" w:pos="3174"/>
          <w:tab w:val="clear" w:pos="15876"/>
        </w:tabs>
        <w:spacing w:line="454" w:lineRule="atLeast"/>
        <w:jc w:val="both"/>
        <w:rPr>
          <w:lang w:val="es-AR" w:eastAsia="es-AR" w:bidi="es-AR"/>
        </w:rPr>
      </w:pPr>
      <w:r>
        <w:rPr>
          <w:lang w:val="es-AR" w:eastAsia="es-AR" w:bidi="es-AR"/>
        </w:rPr>
        <w:t xml:space="preserve"> 	Y con fecha 5 de Noviembre de 2020, pasaron los autos a despacho. </w:t>
      </w:r>
    </w:p>
    <w:p>
      <w:pPr>
        <w:pStyle w:val="[Normal]"/>
        <w:tabs>
          <w:tab w:val="left" w:pos="3174"/>
          <w:tab w:val="clear" w:pos="15876"/>
        </w:tabs>
        <w:spacing w:line="454" w:lineRule="atLeast"/>
        <w:jc w:val="both"/>
        <w:rPr>
          <w:lang w:val="es-AR" w:eastAsia="es-AR" w:bidi="es-AR"/>
        </w:rPr>
      </w:pPr>
      <w:r>
        <w:rPr>
          <w:lang w:val="es-AR" w:eastAsia="es-AR" w:bidi="es-AR"/>
        </w:rPr>
        <w:t xml:space="preserve"> 	I.- Analizado el derrotero procesal de la causa en tratamiento, debo hacer notar que el expediente de referencia viene signado por una anomalía impropia a un proceso de amparo, cuál es el alongado tiempo transcurrido entre la apelación de la resolución cautelar y la remisión de los autos a esta Alzada por parte del Juzgado de Origen, para que se resuelva respecto a la admisibilidad y procedencia del recurso deducido.</w:t>
      </w:r>
    </w:p>
    <w:p>
      <w:pPr>
        <w:pStyle w:val="[Normal]"/>
        <w:tabs>
          <w:tab w:val="left" w:pos="3174"/>
          <w:tab w:val="clear" w:pos="15876"/>
        </w:tabs>
        <w:spacing w:line="454" w:lineRule="atLeast"/>
        <w:jc w:val="both"/>
        <w:rPr>
          <w:lang w:val="es-AR" w:eastAsia="es-AR" w:bidi="es-AR"/>
        </w:rPr>
      </w:pPr>
      <w:r>
        <w:rPr>
          <w:lang w:val="es-AR" w:eastAsia="es-AR" w:bidi="es-AR"/>
        </w:rPr>
        <w:t xml:space="preserve"> 	Al respecto, no puedo soslayar la necesidad de que los procesos judiciales no queden paralizados en su trámite, especialmente cuando están destinados a la tutela urgente de derechos constitucionales como el derecho a la salud. </w:t>
      </w:r>
    </w:p>
    <w:p>
      <w:pPr>
        <w:pStyle w:val="[Normal]"/>
        <w:tabs>
          <w:tab w:val="left" w:pos="3174"/>
          <w:tab w:val="clear" w:pos="15876"/>
        </w:tabs>
        <w:spacing w:line="454" w:lineRule="atLeast"/>
        <w:jc w:val="both"/>
        <w:rPr>
          <w:lang w:val="es-AR" w:eastAsia="es-AR" w:bidi="es-AR"/>
        </w:rPr>
      </w:pPr>
      <w:r>
        <w:rPr>
          <w:lang w:val="es-AR" w:eastAsia="es-AR" w:bidi="es-AR"/>
        </w:rPr>
        <w:t xml:space="preserve"> 	Tal disfunción deviene, en consecuencia, violatoria del derecho a la duración razonable del proceso como manifestación específica de la garantía a la tutela judicial efectiva. Según la Corte Interamericana de Derechos Humanos, el concepto de plazo razonable contemplado en el art. 8.1 del Pacto de San José de Costa Rica debe apreciarse en relación a la duración total del proceso, desde el primer acto procesal hasta que se dicte sentencia definitiva, incluyendo los recursos de instancia que pudieran eventualmente presentarse. Conforme a reiterada jurisprudencia de ese Tribunal deben ser considerados cuatro aspectos para determinar en cada caso concreto el cumplimiento de esta regla: la complejidad del asunto; la conducta de las autoridades; la actividad procesal del interesado, y la afectación generada en la situación jurídica de la persona involucrada en el proceso (Cfr. caso "Suárez Rosero c. Ecuador", párr. 72, y caso "Luna López c. Honduras", párr. 189).	</w:t>
        <w:br w:type="textWrapping"/>
      </w:r>
      <w:r>
        <w:rPr>
          <w:lang w:val="es-AR" w:eastAsia="es-AR" w:bidi="es-AR"/>
        </w:rPr>
        <w:t xml:space="preserve"> 	Cabe recordar, en tal sentido, que los arts. 1º y 2º de la Convención Americana sobre Derechos Humanos, o Pacto de San José de Costa Rica, sientan </w:t>
      </w:r>
      <w:r>
        <w:rPr>
          <w:i/>
          <w:lang w:val="es-AR" w:eastAsia="es-AR" w:bidi="es-AR"/>
        </w:rPr>
        <w:t xml:space="preserve">“deberes”</w:t>
      </w:r>
      <w:r>
        <w:rPr>
          <w:lang w:val="es-AR" w:eastAsia="es-AR" w:bidi="es-AR"/>
        </w:rPr>
        <w:t xml:space="preserve"> específicos para los Estados a ella adheridos. El primero, esencialmente, establece dos: a) respetar los derechos de la Convención, y b) garantizarlos, sin discriminación alguna. A su turno, el art. 2º les obliga a adoptar </w:t>
      </w:r>
      <w:r>
        <w:rPr>
          <w:i/>
          <w:lang w:val="es-AR" w:eastAsia="es-AR" w:bidi="es-AR"/>
        </w:rPr>
        <w:t xml:space="preserve">”disposiciones legislativas o de otro carácter”</w:t>
      </w:r>
      <w:r>
        <w:rPr>
          <w:lang w:val="es-AR" w:eastAsia="es-AR" w:bidi="es-AR"/>
        </w:rPr>
        <w:t xml:space="preserve"> necesarias para efectivizar aquella garantía. Aquí se alude al </w:t>
      </w:r>
      <w:r>
        <w:rPr>
          <w:i/>
          <w:lang w:val="es-AR" w:eastAsia="es-AR" w:bidi="es-AR"/>
        </w:rPr>
        <w:t xml:space="preserve">“efecto útil”</w:t>
      </w:r>
      <w:r>
        <w:rPr>
          <w:lang w:val="es-AR" w:eastAsia="es-AR" w:bidi="es-AR"/>
        </w:rPr>
        <w:t xml:space="preserve"> que debe tener el Pacto.	</w:t>
        <w:br w:type="textWrapping"/>
      </w:r>
      <w:r>
        <w:rPr>
          <w:lang w:val="es-AR" w:eastAsia="es-AR" w:bidi="es-AR"/>
        </w:rPr>
        <w:t xml:space="preserve"> 	En el escenario Interamericano, y con algunos antecedentes precisos en votos aislados emitidos en otros pronunciamientos (Ver por ejemplo los votos singulares del juez de la Corte Interamericana de Derechos Humanos, Sergio García Ramírez, en los casos “Myrna Mack Chang”, 25/11/2003, y “Tibi”, 7/9/2004), la sentencia pronunciada por la Corte Interamericana de Derechos Humanos en el caso “Almonacid Arellano y otros vs. Gobierno de Chile”, dentro del marco de vigencia de la Convención Americana sobre derechos humanos, ha reconocido ampliamente la operatividad del “control de convencionalidad” a practicarse por los jueces nacionales (CIDH, “Almonacid Arellano y otros vs. Gobierno de Chile”, del 26 de septiembre de 2006).	</w:t>
      </w:r>
    </w:p>
    <w:p>
      <w:pPr>
        <w:pStyle w:val="[Normal]"/>
        <w:tabs>
          <w:tab w:val="left" w:pos="3174"/>
          <w:tab w:val="clear" w:pos="15876"/>
        </w:tabs>
        <w:spacing w:line="454" w:lineRule="atLeast"/>
        <w:jc w:val="both"/>
        <w:rPr>
          <w:lang w:val="es-AR" w:eastAsia="es-AR" w:bidi="es-AR"/>
        </w:rPr>
      </w:pPr>
      <w:r>
        <w:rPr>
          <w:lang w:val="es-AR" w:eastAsia="es-AR" w:bidi="es-AR"/>
        </w:rPr>
        <w:t xml:space="preserve"> 	En virtud de lo expuesto, entiendo que en todo proceso judicial, y especialmente en aquellos procesos urgentes tendientes tutelar derechos constitucionales o convencionales, es responsabilidad inherente a las partes, pero también a la judicatura evitar la paralización del trámite de la causa. En tal sentido, advierto que el tiempo transcurrido entre la concesión del recurso de apelación (23/12/2019) y la remisión efectiva de la causa a esta Alzada (27 de Octubre de 2020) por el Juzgado de origen,  ha excedido el límite temporal que se deriva de la garantía al plazo razonable en el caso concreto sin que hayan mediado a la vista circunstancias que justifiquen dicha dilación ni motivos que expliquen en el mencionado informe actuarial cuál ha sido la causa determinante de la demora. Por lo que sírvase la presente advertencia de directiva para casos futuros.</w:t>
      </w:r>
    </w:p>
    <w:p>
      <w:pPr>
        <w:pStyle w:val="[Normal]"/>
        <w:tabs>
          <w:tab w:val="left" w:pos="3174"/>
          <w:tab w:val="clear" w:pos="15876"/>
        </w:tabs>
        <w:spacing w:line="454" w:lineRule="atLeast"/>
        <w:jc w:val="both"/>
        <w:rPr>
          <w:lang w:val="es-AR" w:eastAsia="es-AR" w:bidi="es-AR"/>
        </w:rPr>
      </w:pPr>
      <w:r>
        <w:rPr>
          <w:lang w:val="es-AR" w:eastAsia="es-AR" w:bidi="es-AR"/>
        </w:rPr>
        <w:t xml:space="preserve"> 	II.- Ya en tren de resolver la primera cuestión planteada, he de adentrarme en la admisibilidad de la acción judicial entablada y, en particular, en la competencia en cuanto facultad concreta del órgano decisor para conocer y resolver respecto a la cuestión planteada. Dicho de otro modo, la competencia es la aptitud del juez para ejercer su jurisdicción en un caso determinado, comprendiendo la misma todos los poderes inherentes a la función judicial, ya sea que se vinculen a la cognición o ejecución (Cf. PALACIO, Derecho Procesal Civil, vol. II, p. 373, nro. 163). Por tanto, estamos ante un presupuesto liminar de un proceso tramitado en legal forma, que inviste  al juez considerado como competente con el deber y el derecho de administrar justicia en el caso concreto con exclusión de todo otro órgano jurisdiccional (PRIETO CASTRO, Derecho Procesal Civil, 1964, vol. 1, nro. 142, pag. 210).	</w:t>
      </w:r>
    </w:p>
    <w:p>
      <w:pPr>
        <w:pStyle w:val="[Normal]"/>
        <w:tabs>
          <w:tab w:val="left" w:pos="3174"/>
          <w:tab w:val="clear" w:pos="15876"/>
        </w:tabs>
        <w:spacing w:line="454" w:lineRule="atLeast"/>
        <w:jc w:val="both"/>
        <w:rPr>
          <w:lang w:val="es-AR" w:eastAsia="es-AR" w:bidi="es-AR"/>
        </w:rPr>
      </w:pPr>
      <w:r>
        <w:rPr>
          <w:lang w:val="es-AR" w:eastAsia="es-AR" w:bidi="es-AR"/>
        </w:rPr>
        <w:t xml:space="preserve"> 	Desde el prisma de la competencia en cuanto requisito de admisibilidad de la acción judicial, habré de confirmar lo dicho por el a quo en punto a la validez de la medida precautelar decretada.</w:t>
      </w:r>
    </w:p>
    <w:p>
      <w:pPr>
        <w:pStyle w:val="[Normal]"/>
        <w:tabs>
          <w:tab w:val="left" w:pos="3174"/>
          <w:tab w:val="clear" w:pos="15876"/>
        </w:tabs>
        <w:spacing w:line="454" w:lineRule="atLeast"/>
        <w:jc w:val="both"/>
        <w:rPr>
          <w:i/>
          <w:lang w:val="es-AR" w:eastAsia="es-AR" w:bidi="es-AR"/>
        </w:rPr>
      </w:pPr>
      <w:r>
        <w:rPr>
          <w:lang w:val="es-AR" w:eastAsia="es-AR" w:bidi="es-AR"/>
        </w:rPr>
        <w:t xml:space="preserve"> 	En fallo reciente de este Tribunal Registro Nro. 79/2020 hemos  resuelto esta cuestión relativa a la competencia, replicándola en la especie, con transcripción del primer voto del  colega  Bernardo Louise, quien en el punto señalara: </w:t>
      </w:r>
      <w:r>
        <w:rPr>
          <w:i/>
          <w:lang w:val="es-AR" w:eastAsia="es-AR" w:bidi="es-AR"/>
        </w:rPr>
        <w:t xml:space="preserve">"En efecto cabe recordar que este Tribunal se ha expedido en relación a la competencia de la aquí demandada (PAMI), ordenando la remisión al Juzgado Federal de la ciudad de San Nicolás de los Arroyos (ver al efecto CAP. C: 610/10). Y, en similar sentido lo hizo en la causa N° 3688/ 10, al determinar que la competencia de Entidades Nacionales es de naturaleza federal art. 116 de la Constitución Nacional. En la primera de las causas mencionadas se dijo: " ... En autos se ha demandado al Instituto de Servicios Sociales para Jubilados y Pensionados ( PAMI ). El art. 1º de la ley 19.032 que crea y reglamenta el funcionamiento de dicho Instituto establece que el mismo es persona de derecho público no estatal. Al respecto, el Código Civil al regular sobre la materia (arts. 30 y ss), distingue entre las que son de carácter privado o público (art. 33). Se ha expresado que corresponde a la Justicia Federal entender en las causas en las que la Nación o una entidad nacional sea parte por aplicación del principio que establece que en presencia de un interés nacional incumbe en términos generales la competencia del citado fuero ( conf. SCBA Ac. 84578 S del 23/12/02, JUBA B 26788 ). Y siendo la entidad demandada una persona jurídica de carácter público de orden nacional corresponde en principio la jurisdicción federal pues la Constitución Nacional así lo establece (arts.116, 123 CN), tal como en este caso también en forma expresa lo prevé el citado art. 14 de la ley 19.032 para la entidad demandada. En este orden de ideas, cuando en determinada controversia se encuentra en juego la competencia federal, el tema debe considerarse indisponible para las partes, ya que se ofrece con los caracteres de un impedimento que, más allá de comportar una cuestión de competencia, toca a la demarcación misma con que la Constitución nacional distribuye las posibilidades jurisdiccionales entre la Nación y las Provincias, con oportunidad siempre presente y en cualquier estado del juicio para restablecerla en su regularidad de oficio (conf. SCBA causas L. 29.266, sent. del 23/XII/1980; L. 33.196, sent. del 29/V/1984, "Acuerdos y Sentencias", 1984/I/156, "D.J.B.A.", 127/169; Acuerdo 84.758 del 23/12/02, entre otras). Por otra parte el art. 4 de la ley 16.986 establece que será competente para conocer de la acción de amparo el juez de primera instancia con jurisdicción en el lugar en que el acto se exteriorice o tuviere o pudiere tener efecto. Y el art. 18 de dicha ley dispone su aplicación por los jueces federales de la provincia en los casos en que el acto impugnado mediante la acción de amparo provenga de una autoridad nacional. En consecuencia, dado que en el presente caso el acto lesivo proviene de la delegación local de un organismo que posee el carácter de persona de derecho público no estatal de orden nacional resulta competente para entender en la materia la justicia federal correspondiendo declarar la incompetencia de la justicia local para entender en estas actuaciones (arts. 116, 121, 126 CN, art. 1, 2º inc 6º ley 48, art. 18 ley 16.986, CAP C6267/07, RSD Nº 81/07 del 3/10/07 )... ".</w:t>
      </w:r>
    </w:p>
    <w:p>
      <w:pPr>
        <w:pStyle w:val="[Normal]"/>
        <w:tabs>
          <w:tab w:val="left" w:pos="3174"/>
          <w:tab w:val="clear" w:pos="15876"/>
        </w:tabs>
        <w:spacing w:line="454" w:lineRule="atLeast"/>
        <w:jc w:val="both"/>
        <w:rPr>
          <w:lang w:val="es-AR" w:eastAsia="es-AR" w:bidi="es-AR"/>
        </w:rPr>
      </w:pPr>
      <w:r>
        <w:rPr>
          <w:lang w:val="es-AR" w:eastAsia="es-AR" w:bidi="es-AR"/>
        </w:rPr>
        <w:t xml:space="preserve"> 	Ahora bien, sin perjuicio de lo expuesto, esta Alzada también ha dicho en otro pronunciamiento de reciente factura que: </w:t>
      </w:r>
      <w:r>
        <w:rPr>
          <w:i/>
          <w:lang w:val="es-AR" w:eastAsia="es-AR" w:bidi="es-AR"/>
        </w:rPr>
        <w:t xml:space="preserve">"</w:t>
      </w:r>
      <w:r>
        <w:rPr>
          <w:i/>
          <w:color w:val="000000"/>
          <w:lang w:val="es-AR" w:eastAsia="es-AR" w:bidi="es-AR"/>
        </w:rPr>
        <w:t xml:space="preserve">aún frente a la declaración oficiosa de incompetencia del juez, en función del valor superior a resguardar, que no es otro que el de la eficacia de la jurisdicción, la jerarquía del derecho que se pretende tutelar -derecho a la salud-, resulta válido procesalmente el dictado de cautelar por el juez que recibe el reclamo, aún cuando no sea competente, por obrar dentro de las previsiones contenidas en el ritual (art. 196 CPCC)"</w:t>
      </w:r>
      <w:r>
        <w:rPr>
          <w:color w:val="000000"/>
          <w:lang w:val="es-AR" w:eastAsia="es-AR" w:bidi="es-AR"/>
        </w:rPr>
        <w:t xml:space="preserve"> (</w:t>
      </w:r>
      <w:r>
        <w:rPr>
          <w:lang w:val="es-AR" w:eastAsia="es-AR" w:bidi="es-AR"/>
        </w:rPr>
        <w:t xml:space="preserve">Causa N° </w:t>
      </w:r>
      <w:r>
        <w:rPr>
          <w:color w:val="000000"/>
          <w:lang w:val="es-AR" w:eastAsia="es-AR" w:bidi="es-AR"/>
        </w:rPr>
        <w:t xml:space="preserve">4074-20</w:t>
      </w:r>
      <w:r>
        <w:rPr>
          <w:lang w:val="es-AR" w:eastAsia="es-AR" w:bidi="es-AR"/>
        </w:rPr>
        <w:t xml:space="preserve">  - </w:t>
      </w:r>
      <w:r>
        <w:rPr>
          <w:color w:val="000000"/>
          <w:lang w:val="es-AR" w:eastAsia="es-AR" w:bidi="es-AR"/>
        </w:rPr>
        <w:t xml:space="preserve">Caceres, Graciela Noemi C/ Pami (Programa De Asistencia Medica Integral) S/Amparo</w:t>
      </w:r>
      <w:r>
        <w:rPr>
          <w:lang w:val="es-AR" w:eastAsia="es-AR" w:bidi="es-AR"/>
        </w:rPr>
        <w:t xml:space="preserve">, - 20 de Octubre de 2020). 	</w:t>
        <w:br w:type="textWrapping"/>
      </w:r>
      <w:r>
        <w:rPr>
          <w:lang w:val="es-AR" w:eastAsia="es-AR" w:bidi="es-AR"/>
        </w:rPr>
        <w:t xml:space="preserve"> 	Y es precisamente en función de tal habilitación excepcional (art. 196 del CPCCBA) que ha devenido válido el pronunciamiento cautelar dictado por el Juez de origen.</w:t>
      </w:r>
    </w:p>
    <w:p>
      <w:pPr>
        <w:pStyle w:val="[Normal]"/>
        <w:tabs>
          <w:tab w:val="left" w:pos="3174"/>
          <w:tab w:val="clear" w:pos="15876"/>
        </w:tabs>
        <w:spacing w:line="454" w:lineRule="atLeast"/>
        <w:jc w:val="both"/>
        <w:rPr>
          <w:lang w:val="es-AR" w:eastAsia="es-AR" w:bidi="es-AR"/>
        </w:rPr>
      </w:pPr>
      <w:r>
        <w:rPr>
          <w:lang w:val="es-AR" w:eastAsia="es-AR" w:bidi="es-AR"/>
        </w:rPr>
        <w:t xml:space="preserve"> 	III.- Sin desmedro de lo expuesto, entiendo que donde sí ha equivocado el Juez de grado es en la determinación de la Alzada competente.</w:t>
      </w:r>
    </w:p>
    <w:p>
      <w:pPr>
        <w:pStyle w:val="[Normal]"/>
        <w:tabs>
          <w:tab w:val="left" w:pos="3174"/>
          <w:tab w:val="clear" w:pos="15876"/>
        </w:tabs>
        <w:spacing w:line="454" w:lineRule="atLeast"/>
        <w:jc w:val="both"/>
        <w:rPr>
          <w:lang w:val="es-AR" w:eastAsia="es-AR" w:bidi="es-AR"/>
        </w:rPr>
      </w:pPr>
      <w:r>
        <w:rPr>
          <w:lang w:val="es-AR" w:eastAsia="es-AR" w:bidi="es-AR"/>
        </w:rPr>
        <w:t xml:space="preserve"> 	Es que sin desconocer que el citado precedente de la Cámara de San Nicolás en autos "Villaruel Atilia R. c/ O.S.P.R.E.R.A. s/ Amparo" a partir del cual el a quo deduce que la presente cuestión no configuraría materia administrativa podría constituir un argumento verosímil -aunque veremos luego que no- para excluir la competencia de la Alzada natural del órgano inferior, ello no autoriza a concluir </w:t>
      </w:r>
      <w:r>
        <w:rPr>
          <w:i/>
          <w:lang w:val="es-AR" w:eastAsia="es-AR" w:bidi="es-AR"/>
        </w:rPr>
        <w:t xml:space="preserve">per se</w:t>
      </w:r>
      <w:r>
        <w:rPr>
          <w:lang w:val="es-AR" w:eastAsia="es-AR" w:bidi="es-AR"/>
        </w:rPr>
        <w:t xml:space="preserve"> que la Alzada competente para resolver el presente recurso de amparo es la Cámara de Apelaciones Civil y Comercial de este Departamento Judicial.</w:t>
      </w:r>
    </w:p>
    <w:p>
      <w:pPr>
        <w:pStyle w:val="[Normal]"/>
        <w:tabs>
          <w:tab w:val="left" w:pos="3174"/>
          <w:tab w:val="clear" w:pos="15876"/>
        </w:tabs>
        <w:spacing w:line="454" w:lineRule="atLeast"/>
        <w:jc w:val="both"/>
        <w:rPr>
          <w:lang w:val="es-AR" w:eastAsia="es-AR" w:bidi="es-AR"/>
        </w:rPr>
      </w:pPr>
      <w:r>
        <w:rPr>
          <w:lang w:val="es-AR" w:eastAsia="es-AR" w:bidi="es-AR"/>
        </w:rPr>
        <w:t xml:space="preserve"> 	Tal observación se vuelve más clara aún no bien se advierte que la Suprema Corte de Justicia de la Provincia de Buenos Aires ha decidido en un reciente pronunciamiento que en el ámbito del proceso de amparo la regla general determina que el recurso debe ser resuelto por el Tribunal de Alzada del Juzgado de Origen: </w:t>
      </w:r>
      <w:r>
        <w:rPr>
          <w:i/>
          <w:lang w:val="es-AR" w:eastAsia="es-AR" w:bidi="es-AR"/>
        </w:rPr>
        <w:t xml:space="preserve">"Conforme el principio general por el cual, solo excepcionalmente y en atención a la índole de las cuestiones planteadas, se resuelven los conflictos de competencia mediante la utilización de un criterio de especialización material, </w:t>
      </w:r>
      <w:r>
        <w:rPr>
          <w:b/>
          <w:i/>
          <w:lang w:val="es-AR" w:eastAsia="es-AR" w:bidi="es-AR"/>
        </w:rPr>
        <w:t xml:space="preserve">en el ámbito del proceso constitucional de amparo</w:t>
      </w:r>
      <w:r>
        <w:rPr>
          <w:i/>
          <w:lang w:val="es-AR" w:eastAsia="es-AR" w:bidi="es-AR"/>
        </w:rPr>
        <w:t xml:space="preserve"> y por fuera de las controversias a las que mienta el art. 17 bis de la ley 13.928 -texto según ley 14.192-, para determinar el órgano competente en instancia de apelación, la regla es la que consagra el art. 38 de la ley 5.827, es decir, que </w:t>
      </w:r>
      <w:r>
        <w:rPr>
          <w:b/>
          <w:i/>
          <w:lang w:val="es-AR" w:eastAsia="es-AR" w:bidi="es-AR"/>
        </w:rPr>
        <w:t xml:space="preserve">el recurso debe ser resuelto por el Tribunal de Alzada natural del juzgado de origen, sin importar la competencia en razón de la materia</w:t>
      </w:r>
      <w:r>
        <w:rPr>
          <w:i/>
          <w:lang w:val="es-AR" w:eastAsia="es-AR" w:bidi="es-AR"/>
        </w:rPr>
        <w:t xml:space="preserve">" </w:t>
      </w:r>
      <w:r>
        <w:rPr>
          <w:lang w:val="es-AR" w:eastAsia="es-AR" w:bidi="es-AR"/>
        </w:rPr>
        <w:t xml:space="preserve">(SCBA, </w:t>
      </w:r>
      <w:r>
        <w:rPr>
          <w:i/>
          <w:lang w:val="es-AR" w:eastAsia="es-AR" w:bidi="es-AR"/>
        </w:rPr>
        <w:t xml:space="preserve">"Cuello, Facundo Javier c/ Grupo Trois S.R.L. s/ Acción de amparo- Incidente de apelación"</w:t>
      </w:r>
      <w:r>
        <w:rPr>
          <w:lang w:val="es-AR" w:eastAsia="es-AR" w:bidi="es-AR"/>
        </w:rPr>
        <w:t xml:space="preserve">, 02/09/2020) -la letra en negrita me pertenece-. 	</w:t>
        <w:br w:type="textWrapping"/>
      </w:r>
      <w:r>
        <w:rPr>
          <w:lang w:val="es-AR" w:eastAsia="es-AR" w:bidi="es-AR"/>
        </w:rPr>
        <w:t xml:space="preserve"> 	La Suprema Corte de Justicia Provincial es el norte que debe guiar e inspirar la tarea del juzgador. Y como tal, ha recalcado que </w:t>
      </w:r>
      <w:r>
        <w:rPr>
          <w:i/>
          <w:lang w:val="es-AR" w:eastAsia="es-AR" w:bidi="es-AR"/>
        </w:rPr>
        <w:t xml:space="preserve">"el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 (SCBA, Ac. 52.258 del 2/8/94; e.o), de allí que la doctrina legal de la Casación bonaerense devenga obligatoria para los órganos jurisdiccionales de la instancias ordinarias"</w:t>
      </w:r>
      <w:r>
        <w:rPr>
          <w:lang w:val="es-AR" w:eastAsia="es-AR" w:bidi="es-AR"/>
        </w:rPr>
        <w:t xml:space="preserve"> (art. 161 inc. 3, ap. "a" Const. Pcial; esta Sala, B-82.123, reg. sent. 326/95; B-84.791 reg. sent. 48/97; B-87.496 reg. sent. 282/97, 99.419 reg. sent. 86/06, 117.665 reg. sent. 100/14, e.o).</w:t>
      </w:r>
    </w:p>
    <w:p>
      <w:pPr>
        <w:pStyle w:val="[Normal]"/>
        <w:tabs>
          <w:tab w:val="left" w:pos="3174"/>
          <w:tab w:val="clear" w:pos="15876"/>
        </w:tabs>
        <w:spacing w:line="454" w:lineRule="atLeast"/>
        <w:jc w:val="both"/>
        <w:rPr>
          <w:lang w:val="es-AR" w:eastAsia="es-AR" w:bidi="es-AR"/>
        </w:rPr>
      </w:pPr>
      <w:r>
        <w:rPr>
          <w:lang w:val="es-AR" w:eastAsia="es-AR" w:bidi="es-AR"/>
        </w:rPr>
        <w:t xml:space="preserve">	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SCBA, Ac. y Sent. 1959- IV-169; eo., Ibañez Frocham, Tratado de los recursos en el proceso civil, Omega, p. 313 y sig., Morello y otros, Códigos procesales..., T. III, p. 502, ap. b y c; esta Sala causas B-79.790 reg. sent. 38/95; B-80.472 reg. sent. 34/95; e.o) (conf. Cámara Segunda de Apelación en lo Civil y Comercial, Sala Tercera, de La Plata, causa nº 119.309, Reg. 161, del 15/10/2015).</w:t>
      </w:r>
    </w:p>
    <w:p>
      <w:pPr>
        <w:pStyle w:val="[Normal]"/>
        <w:tabs>
          <w:tab w:val="left" w:pos="3174"/>
          <w:tab w:val="clear" w:pos="15876"/>
        </w:tabs>
        <w:spacing w:line="454" w:lineRule="atLeast"/>
        <w:jc w:val="both"/>
        <w:rPr>
          <w:lang w:val="es-AR" w:eastAsia="es-AR" w:bidi="es-AR"/>
        </w:rPr>
      </w:pPr>
      <w:r>
        <w:rPr>
          <w:lang w:val="es-AR" w:eastAsia="es-AR" w:bidi="es-AR"/>
        </w:rPr>
        <w:t xml:space="preserve"> 	Es cierto que tal tesitura ha experimentado una flexibilización en los últimos años. Así, por ejemplo, en la causa “Salinas”, se admitió la posibilidad de que las instancias inferiores resuelvan de una forma contraria a lo establecido por la doctrina legal siempre y cuando exhiban razones convincentes, decisivas y atinentes de opuesto sentido. Y más recientemente, en la causa </w:t>
      </w:r>
      <w:r>
        <w:rPr>
          <w:i/>
          <w:lang w:val="es-AR" w:eastAsia="es-AR" w:bidi="es-AR"/>
        </w:rPr>
        <w:t xml:space="preserve">“Cisi”</w:t>
      </w:r>
      <w:r>
        <w:rPr>
          <w:lang w:val="es-AR" w:eastAsia="es-AR" w:bidi="es-AR"/>
        </w:rPr>
        <w:t xml:space="preserve">, la Corte hizo aún más versátil este entendimiento al calificar como violatorios de la doctrina legal únicamente a aquellos fallos que fuesen dictados con </w:t>
      </w:r>
      <w:r>
        <w:rPr>
          <w:i/>
          <w:lang w:val="es-AR" w:eastAsia="es-AR" w:bidi="es-AR"/>
        </w:rPr>
        <w:t xml:space="preserve">“injustificado apartamiento o inobservancia de un criterio jurisprudencial sentado previamente por esta Corte en casos análogos o de estrecha similitud </w:t>
      </w:r>
      <w:r>
        <w:rPr>
          <w:lang w:val="es-AR" w:eastAsia="es-AR" w:bidi="es-AR"/>
        </w:rPr>
        <w:t xml:space="preserve">(SCBA, Ac. 2845 «Edelmann.» del 17/11/1959, Ac. 31.507 «Provincia de Buenos Aires.» del 26/10/1982c. 43.223 -"Ramos."- del 17/1/1992, entre otros.  SCBA, C.117.292 del 01/04/2015).</w:t>
      </w:r>
    </w:p>
    <w:p>
      <w:pPr>
        <w:pStyle w:val="[Normal]"/>
        <w:tabs>
          <w:tab w:val="left" w:pos="3174"/>
          <w:tab w:val="clear" w:pos="15876"/>
        </w:tabs>
        <w:spacing w:line="454" w:lineRule="atLeast"/>
        <w:jc w:val="both"/>
        <w:rPr>
          <w:lang w:val="es-AR" w:eastAsia="es-AR" w:bidi="es-AR"/>
        </w:rPr>
      </w:pPr>
      <w:r>
        <w:rPr>
          <w:lang w:val="es-AR" w:eastAsia="es-AR" w:bidi="es-AR"/>
        </w:rPr>
        <w:t xml:space="preserve"> 	Con todo, y aún cuando se adoptase una hermenéutica laxa respecto a los alcances vinculantes de la doctrina legal de la Casación Provincial, resulta imprescindible que la decisión opuesta, amén de satisfacer los requisitos genéricos de fundamentación judicial -art. 1 de la CN y art. 3 del CCyC- aporte razones convincentes, decisivas y atinentes que justifiquen el apartamiento. Y en tal sentido, la mera invocación de un fallo de la Cámara de San Nicolás que entendió que en un caso presuntamente análogo al presente la cuestión tratada excedía la materia contencioso administrativa no se autoabastece como fundamento suficiente para sostener la competencia de esta Cámara como Alzada del Juzgado Contencioso Administrativo en los procesos de amparo. Lo que desde aquí me lleva a ratificar la vigencia del criterio sentado por el Máximo Tribunal bonaerense en las presentes actuaciones.</w:t>
      </w:r>
    </w:p>
    <w:p>
      <w:pPr>
        <w:pStyle w:val="[Normal]"/>
        <w:tabs>
          <w:tab w:val="left" w:pos="3174"/>
          <w:tab w:val="clear" w:pos="15876"/>
        </w:tabs>
        <w:spacing w:line="454" w:lineRule="atLeast"/>
        <w:jc w:val="both"/>
        <w:rPr>
          <w:lang w:val="es-AR" w:eastAsia="es-AR" w:bidi="es-AR"/>
        </w:rPr>
      </w:pPr>
      <w:r>
        <w:rPr>
          <w:lang w:val="es-AR" w:eastAsia="es-AR" w:bidi="es-AR"/>
        </w:rPr>
        <w:t xml:space="preserve"> 	Sin perjuicio de lo expuesto, la realidad es que la presente causa ya se encuentra en esta sede y, aún cuando desde aquí se entiende que la misma ha sido incorrectamente elevada por razones de incompetencia, entra en juego nuevamente la prescripción normativa del art. 196 del CPCCBA lo que vincularía a este Tribunal a tener que pronunciarse respecto a la cuestión cautelar apelada. Es precisamente en este excepcionalísimo marco que me pronunciaré respecto a la materia apelada.	</w:t>
      </w:r>
    </w:p>
    <w:p>
      <w:pPr>
        <w:pStyle w:val="[Normal]"/>
        <w:tabs>
          <w:tab w:val="left" w:pos="3174"/>
          <w:tab w:val="clear" w:pos="15876"/>
        </w:tabs>
        <w:spacing w:line="454" w:lineRule="atLeast"/>
        <w:jc w:val="both"/>
        <w:rPr>
          <w:lang w:val="es-AR" w:eastAsia="es-AR" w:bidi="es-AR"/>
        </w:rPr>
      </w:pPr>
      <w:r>
        <w:rPr>
          <w:lang w:val="es-AR" w:eastAsia="es-AR" w:bidi="es-AR"/>
        </w:rPr>
        <w:t xml:space="preserve"> 	IV.- Ya en tarea de resolver la cuestión aludida, advierto que la resolución cautelar apelada circunscribió la eficacia de la medida precautoria otorgada a un límite temporal de 3 meses dentro del cual la demandada debía cumplir con la prestación objeto de la medida precautelar o hasta tanto el Juez que en definitiva entienda, resuelva la pretensión cautelar, si ello sucediere antes. </w:t>
      </w:r>
    </w:p>
    <w:p>
      <w:pPr>
        <w:pStyle w:val="[Normal]"/>
        <w:tabs>
          <w:tab w:val="left" w:pos="3174"/>
          <w:tab w:val="clear" w:pos="15876"/>
        </w:tabs>
        <w:spacing w:line="454" w:lineRule="atLeast"/>
        <w:jc w:val="both"/>
        <w:rPr>
          <w:lang w:val="es-AR" w:eastAsia="es-AR" w:bidi="es-AR"/>
        </w:rPr>
      </w:pPr>
      <w:r>
        <w:rPr>
          <w:lang w:val="es-AR" w:eastAsia="es-AR" w:bidi="es-AR"/>
        </w:rPr>
        <w:t xml:space="preserve">	Advirtiendo que el mentado plazo ha sido excedido largamente en el momento actual, y dado que la apelación deducida tiene como fin procesal inmediato dejar sin efecto la orden precautelar dictada a través de la resolución recurrida, es evidente que la cuestión se ha tornado abstracta, resultando superfluo el análisis de los agravios planteados por la parte demandada que no hacen sino a cuestionar los requisitos de procedencia de la medida oportunamente concedida.</w:t>
      </w:r>
    </w:p>
    <w:p>
      <w:pPr>
        <w:pStyle w:val="[Normal]"/>
        <w:tabs>
          <w:tab w:val="left" w:pos="3174"/>
          <w:tab w:val="clear" w:pos="15876"/>
        </w:tabs>
        <w:spacing w:line="454" w:lineRule="atLeast"/>
        <w:jc w:val="both"/>
        <w:rPr>
          <w:lang w:val="es-AR" w:eastAsia="es-AR" w:bidi="es-AR"/>
        </w:rPr>
      </w:pPr>
      <w:r>
        <w:rPr>
          <w:lang w:val="es-AR" w:eastAsia="es-AR" w:bidi="es-AR"/>
        </w:rPr>
        <w:t xml:space="preserve"> 	En tal inteligencia, este Tribunal ha dicho que: </w:t>
      </w:r>
      <w:r>
        <w:rPr>
          <w:i/>
          <w:color w:val="000000"/>
          <w:lang w:val="es-AR" w:eastAsia="es-AR" w:bidi="es-AR"/>
        </w:rPr>
        <w:t xml:space="preserve">"El interés es lo que justifica la actuación ante la justicia. Así como el interés es la medida de la acción, también el interés es la medida en la apelación. El interés que justifica la apelación surge del "agravio" o "gravamen" que la resolución recurrida ocasiona a la parte recurrente. El "agravio" es el perjuicio que la resolución causa al recurrente; y la existencia de este agravio y la posibilidad de su reparación a través del recurso de apelación es lo que determina el "interés" del apelante en ese recurso (art. 242, inc. 3°, CPCC.). El "agravio", para justificar el recurso de apelación, debe también ser "actual", es decir, debe existir al momento de apelar y subsistir al momento de dictar sentencia. Y si desaparece el interés, la cuestión se torna abstracta y es sabido que los jueces deben decidir colisiones efectivas de derechos mas no hacer declaraciones generales o abstractas ni resolver cuestiones vinculadas a controversias extinguidas por el transcurso del tiempo"</w:t>
      </w:r>
      <w:r>
        <w:rPr>
          <w:color w:val="000000"/>
          <w:lang w:val="es-AR" w:eastAsia="es-AR" w:bidi="es-AR"/>
        </w:rPr>
        <w:t xml:space="preserve"> (CC0000 DO 84253 RSD-177-6 S 24-5-2006 -JUBA B903502-).-</w:t>
      </w:r>
    </w:p>
    <w:p>
      <w:pPr>
        <w:pStyle w:val="[Normal]"/>
        <w:tabs>
          <w:tab w:val="left" w:pos="3174"/>
          <w:tab w:val="clear" w:pos="15876"/>
        </w:tabs>
        <w:spacing w:line="454" w:lineRule="atLeast"/>
        <w:jc w:val="both"/>
        <w:rPr>
          <w:lang w:val="es-AR" w:eastAsia="es-AR" w:bidi="es-AR"/>
        </w:rPr>
      </w:pPr>
      <w:r>
        <w:rPr>
          <w:lang w:val="es-AR" w:eastAsia="es-AR" w:bidi="es-AR"/>
        </w:rPr>
        <w:t xml:space="preserve">    	De modo que frente a la manifiesta inutilidad que traería aparejado un pronunciamiento que versara sobre los agravios expresados atento a la extinción del objeto de la medida precautelar por consumación  del plazo acordado para su vigencia, corresponde declarar abstracta la presente cuestión y ordenar la devolución de los presentes autos al Juzgado de Origen. 	</w:t>
      </w:r>
    </w:p>
    <w:p>
      <w:pPr>
        <w:pStyle w:val="[Normal]"/>
        <w:tabs>
          <w:tab w:val="left" w:pos="3174"/>
          <w:tab w:val="clear" w:pos="15876"/>
        </w:tabs>
        <w:spacing w:line="454" w:lineRule="atLeast"/>
        <w:jc w:val="both"/>
        <w:rPr>
          <w:lang w:val="es-AR" w:eastAsia="es-AR" w:bidi="es-AR"/>
        </w:rPr>
      </w:pPr>
      <w:r>
        <w:rPr>
          <w:lang w:val="es-AR" w:eastAsia="es-AR" w:bidi="es-AR"/>
        </w:rPr>
        <w:t xml:space="preserve"> 	En virtud de las razones expresadas,  	</w:t>
      </w:r>
    </w:p>
    <w:p>
      <w:pPr>
        <w:pStyle w:val="[Normal]"/>
        <w:tabs>
          <w:tab w:val="left" w:pos="3174"/>
          <w:tab w:val="clear" w:pos="15876"/>
        </w:tabs>
        <w:spacing w:line="454" w:lineRule="atLeast"/>
        <w:jc w:val="both"/>
        <w:rPr>
          <w:lang w:val="es-AR" w:eastAsia="es-AR" w:bidi="es-AR"/>
        </w:rPr>
      </w:pPr>
      <w:r>
        <w:rPr>
          <w:lang w:val="es-AR" w:eastAsia="es-AR" w:bidi="es-AR"/>
        </w:rPr>
        <w:t xml:space="preserve">	VOTO POR LA AFIRMATIVA.</w:t>
      </w:r>
    </w:p>
    <w:p>
      <w:pPr>
        <w:pStyle w:val="[Normal]"/>
        <w:tabs>
          <w:tab w:val="left" w:pos="3174"/>
          <w:tab w:val="clear" w:pos="15876"/>
        </w:tabs>
        <w:spacing w:line="454" w:lineRule="atLeast"/>
        <w:jc w:val="both"/>
        <w:rPr>
          <w:lang w:val="es-AR" w:eastAsia="es-AR" w:bidi="es-AR"/>
        </w:rPr>
      </w:pPr>
      <w:r>
        <w:rPr>
          <w:lang w:val="es-AR" w:eastAsia="es-AR" w:bidi="es-AR"/>
        </w:rPr>
        <w:t xml:space="preserve"> 	A la misma cuestión el Sr. Juez Bernardo Louise</w:t>
      </w:r>
      <w:r>
        <w:rPr>
          <w:color w:val="000000"/>
          <w:lang w:val="es-AR" w:eastAsia="es-AR" w:bidi="es-AR"/>
        </w:rPr>
        <w:t xml:space="preserve"> </w:t>
      </w:r>
      <w:r>
        <w:rPr>
          <w:lang w:val="es-AR" w:eastAsia="es-AR" w:bidi="es-AR"/>
        </w:rPr>
        <w:t xml:space="preserve">por análogos fundamentos votó en el mismo sentido.-</w:t>
      </w:r>
    </w:p>
    <w:p>
      <w:pPr>
        <w:pStyle w:val="[Normal]"/>
        <w:tabs>
          <w:tab w:val="left" w:pos="3174"/>
          <w:tab w:val="clear" w:pos="15876"/>
        </w:tabs>
        <w:spacing w:line="454" w:lineRule="atLeast"/>
        <w:jc w:val="both"/>
        <w:rPr>
          <w:lang w:val="es-AR" w:eastAsia="es-AR" w:bidi="es-AR"/>
        </w:rPr>
      </w:pPr>
      <w:r>
        <w:rPr>
          <w:lang w:val="es-AR" w:eastAsia="es-AR" w:bidi="es-AR"/>
        </w:rPr>
        <w:t xml:space="preserve"> 	A la segunda cuestión la Sra. Jueza Graciela Scaraffía dijo: De conformidad al resultado habido al tratarse la cuestión precedente, estimo que el pronunciamiento que corresponde dictar es: Rechazar el recurso de apelación deducido subsidiariamente por la demandada y en consecuencia confirmar el fallo apelado (196 y ccs. CPCC y art. 9 ley 13.928). </w:t>
      </w:r>
    </w:p>
    <w:p>
      <w:pPr>
        <w:pStyle w:val="[Normal]"/>
        <w:spacing w:line="360" w:lineRule="auto"/>
        <w:ind w:firstLine="1134"/>
        <w:jc w:val="both"/>
        <w:rPr>
          <w:lang w:val="es-AR" w:eastAsia="es-AR" w:bidi="es-AR"/>
        </w:rPr>
      </w:pPr>
      <w:r>
        <w:rPr>
          <w:lang w:val="es-AR" w:eastAsia="es-AR" w:bidi="es-AR"/>
        </w:rPr>
        <w:t xml:space="preserve"> A la misma cuestión el Sr. Juez Bernardo Louise</w:t>
      </w:r>
      <w:r>
        <w:rPr>
          <w:color w:val="000000"/>
          <w:lang w:val="es-AR" w:eastAsia="es-AR" w:bidi="es-AR"/>
        </w:rPr>
        <w:t xml:space="preserve"> </w:t>
      </w:r>
      <w:r>
        <w:rPr>
          <w:lang w:val="es-AR" w:eastAsia="es-AR" w:bidi="es-AR"/>
        </w:rPr>
        <w:t xml:space="preserve">por análogos fundamentos votó en el mismo sentido.	</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por la demandada y en consecuencia confirmar el fallo apelado (195 y ccs. CPCC y art. 9 ley 13.928). 	</w:t>
        <w:br w:type="textWrapping"/>
      </w:r>
      <w:r>
        <w:rPr>
          <w:lang w:val="es-AR" w:eastAsia="es-AR" w:bidi="es-AR"/>
        </w:rPr>
        <w:t xml:space="preserve"> 	 Regístrese. Notifíquese. Devuélvase y firme la presente, desde la instancia de origen, tómese nota de lo indicado en los puntos I y III de esta sentencia para casos futuros análogos (art. 34 inc. 5 del CPCCBA)  y remítanse los autos al Juzgado Federal competente.</w:t>
      </w:r>
    </w:p>
    <w:p>
      <w:pPr>
        <w:pStyle w:val="[Normal]"/>
        <w:spacing w:line="360" w:lineRule="auto"/>
        <w:ind w:firstLine="1134"/>
        <w:jc w:val="both"/>
        <w:rPr>
          <w:lang w:val="es-AR" w:eastAsia="es-AR" w:bidi="es-AR"/>
        </w:rPr>
      </w:pPr>
      <w:r>
        <w:rPr>
          <w:lang w:val="es-AR" w:eastAsia="es-AR" w:bidi="es-AR"/>
        </w:rPr>
        <w:t xml:space="preserve"> 	</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09:22:39 -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09:25:10 -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12/11/2020 11:21:47 -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‰7@")è%!kgdŠ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233202090005017571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color w:val="000000"/>
        <w:lang w:val="es-AR" w:eastAsia="es-AR" w:bidi="es-AR"/>
      </w:rPr>
      <w:t xml:space="preserve">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‰7@")è%!kgdŠ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233202090005017571</w:t>
    </w:r>
    <w:r>
      <w:rPr>
        <w:color w:val="000000"/>
        <w:lang w:val="es-AR" w:eastAsia="es-AR" w:bidi="es-AR"/>
      </w:rPr>
      <w:t xml:space="preserve"> </w:t>
    </w:r>
  </w:p>
  <w:p>
    <w:pPr>
      <w:pStyle w:val="[Normal]"/>
      <w:jc w:val="both"/>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jc w:val="both"/>
      <w:rPr>
        <w:color w:val="000000"/>
        <w:lang w:val="es-AR" w:eastAsia="es-AR" w:bidi="es-AR"/>
      </w:rPr>
    </w:pPr>
    <w:r>
      <w:rPr>
        <w:color w:val="000000"/>
        <w:lang w:val="es-AR" w:eastAsia="es-AR" w:bidi="es-AR"/>
      </w:rPr>
      <w:t xml:space="preserve">PROVINCIA DE BUENOS AIRES</w:t>
    </w:r>
  </w:p>
  <w:p>
    <w:pPr>
      <w:pStyle w:val="[Normal]"/>
      <w:jc w:val="both"/>
      <w:rPr>
        <w:color w:val="000000"/>
        <w:lang w:val="es-AR" w:eastAsia="es-AR" w:bidi="es-AR"/>
      </w:rPr>
    </w:pPr>
    <w:r>
      <w:rPr>
        <w:color w:val="000000"/>
        <w:lang w:val="es-AR" w:eastAsia="es-AR" w:bidi="es-AR"/>
      </w:rPr>
      <w:t xml:space="preserve">              Poder Judicial </w:t>
    </w:r>
  </w:p>
  <w:p>
    <w:pPr>
      <w:pStyle w:val="[Normal]"/>
      <w:jc w:val="both"/>
      <w:rPr>
        <w:color w:val="000000"/>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footnote text">
    <w:name w:val="footnote text"/>
    <w:basedOn w:val="Normal"/>
    <w:next w:val="footnote text"/>
    <w:qFormat/>
    <w:pPr>
      <w:spacing w:after="0" w:line="240" w:lineRule="auto"/>
    </w:pPr>
    <w:rPr>
      <w:rFonts w:ascii="Times New Roman" w:hAnsi="Times New Roman" w:eastAsia="Times New Roman" w:cs="Times New Roman"/>
      <w:sz w:val="20"/>
      <w:szCs w:val="20"/>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