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178 /</w:t>
      </w:r>
      <w:r>
        <w:rPr>
          <w:b/>
          <w:color w:val="000000"/>
          <w:lang w:val="es-AR" w:eastAsia="es-AR" w:bidi="es-AR"/>
        </w:rPr>
        <w:t xml:space="preserve">2020</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1143/1145</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 de Diciembre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3874-20</w:t>
      </w:r>
      <w:r>
        <w:rPr>
          <w:lang w:val="es-AR" w:eastAsia="es-AR" w:bidi="es-AR"/>
        </w:rPr>
        <w:t xml:space="preserve"> caratulada </w:t>
      </w:r>
      <w:r>
        <w:rPr>
          <w:b/>
          <w:lang w:val="es-AR" w:eastAsia="es-AR" w:bidi="es-AR"/>
        </w:rPr>
        <w:t xml:space="preserve">"</w:t>
      </w:r>
      <w:r>
        <w:rPr>
          <w:b/>
          <w:color w:val="000000"/>
          <w:lang w:val="es-AR" w:eastAsia="es-AR" w:bidi="es-AR"/>
        </w:rPr>
        <w:t xml:space="preserve">NORTHING S.A. C/ VILLA ANDREA Y OTRO/A S/ COBRO EJECUTIVO</w:t>
      </w:r>
      <w:r>
        <w:rPr>
          <w:b/>
          <w:lang w:val="es-AR" w:eastAsia="es-AR" w:bidi="es-AR"/>
        </w:rPr>
        <w:t xml:space="preserve">"</w:t>
      </w:r>
      <w:r>
        <w:rPr>
          <w:lang w:val="es-AR" w:eastAsia="es-AR" w:bidi="es-AR"/>
        </w:rPr>
        <w:t xml:space="preserve">, Expte. N° 73990 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Roberto Manuel Degleue, Graciela Scaraffía y Bernardo Louise,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en lo apelado?.</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El señor Juez de primera instancia dictó sentencia rechazando la ejecución incoada por resultar inhábil el título. Aplicó las costas a la actora y reguló honorarios al letrado interviniente.</w:t>
      </w:r>
    </w:p>
    <w:p>
      <w:pPr>
        <w:pStyle w:val="[Normal]"/>
        <w:spacing w:line="360" w:lineRule="auto"/>
        <w:ind w:firstLine="1134"/>
        <w:jc w:val="both"/>
        <w:rPr>
          <w:lang w:val="es-AR" w:eastAsia="es-AR" w:bidi="es-AR"/>
        </w:rPr>
      </w:pPr>
      <w:r>
        <w:rPr>
          <w:lang w:val="es-AR" w:eastAsia="es-AR" w:bidi="es-AR"/>
        </w:rPr>
        <w:t xml:space="preserve">Para así decidir, consideró que del análisis del titulo base de la presente ejecución y la solicitud de crédito acompañada por la ejecutante se aprecia a simple vista que la misma no cumplió con la obligación de dar debida información al tomador del crédito y con ello dar cumplimiento a lo previsto en el artículo 36 de la Ley de Defensa del Consumidor, al no individualizar de manera completa los requisitos exigidos en el mismo.</w:t>
      </w:r>
    </w:p>
    <w:p>
      <w:pPr>
        <w:pStyle w:val="[Normal]"/>
        <w:spacing w:line="360" w:lineRule="auto"/>
        <w:ind w:firstLine="1134"/>
        <w:jc w:val="both"/>
        <w:rPr>
          <w:lang w:val="es-AR" w:eastAsia="es-AR" w:bidi="es-AR"/>
        </w:rPr>
      </w:pPr>
      <w:r>
        <w:rPr>
          <w:lang w:val="es-AR" w:eastAsia="es-AR" w:bidi="es-AR"/>
        </w:rPr>
        <w:t xml:space="preserve">Disconforme con lo decidido apela la actora el 7-11-2019, concedido el recurso en relación el 15-9-2019, fundado el 20-11-2019.</w:t>
      </w:r>
    </w:p>
    <w:p>
      <w:pPr>
        <w:pStyle w:val="[Normal]"/>
        <w:spacing w:line="360" w:lineRule="auto"/>
        <w:ind w:firstLine="1134"/>
        <w:jc w:val="both"/>
        <w:rPr>
          <w:lang w:val="es-AR" w:eastAsia="es-AR" w:bidi="es-AR"/>
        </w:rPr>
      </w:pPr>
      <w:r>
        <w:rPr>
          <w:lang w:val="es-AR" w:eastAsia="es-AR" w:bidi="es-AR"/>
        </w:rPr>
        <w:t xml:space="preserve">Elevados los autos pasan a resolver el 18-8-2020, providencia que firme a la fecha, deja la causa en condiciones de ser fallada. </w:t>
      </w:r>
    </w:p>
    <w:p>
      <w:pPr>
        <w:pStyle w:val="[Normal]"/>
        <w:spacing w:line="360" w:lineRule="auto"/>
        <w:ind w:firstLine="1134"/>
        <w:jc w:val="both"/>
        <w:rPr>
          <w:lang w:val="es-AR" w:eastAsia="es-AR" w:bidi="es-AR"/>
        </w:rPr>
      </w:pPr>
      <w:r>
        <w:rPr>
          <w:lang w:val="es-AR" w:eastAsia="es-AR" w:bidi="es-AR"/>
        </w:rPr>
        <w:t xml:space="preserve">La quejosa se agravia del decisorio apelado por cuanto al considerar la presente una relación de consumo, desestima el a-quo la ejecución, lo que constituye a su criterio un ejercicio abusivo de la judicatura, en tanto la contraria no se ha presentado a estar a derecho. Afirma que lo así decidido constituye un enriquecimiento sin causa del deudor, puesto que el mismo se hallaba debidamente notificado y rebelde.</w:t>
      </w:r>
    </w:p>
    <w:p>
      <w:pPr>
        <w:pStyle w:val="[Normal]"/>
        <w:spacing w:line="360" w:lineRule="auto"/>
        <w:ind w:firstLine="1134"/>
        <w:jc w:val="both"/>
        <w:rPr>
          <w:lang w:val="es-AR" w:eastAsia="es-AR" w:bidi="es-AR"/>
        </w:rPr>
      </w:pPr>
      <w:r>
        <w:rPr>
          <w:lang w:val="es-AR" w:eastAsia="es-AR" w:bidi="es-AR"/>
        </w:rPr>
        <w:t xml:space="preserve">Señala que el juzgador basa su fallo en lo resuelto por este Tribunal en la causa 3545/19, pero que en la misma fue la contraparte quien mediante la excepción de inhabilidad de título instó el proceso, a diferencia del presente, en el que el ejecutado ni siquiera compareció a estar a derecho y aún así resultó beneficiado por el fallo anterior.</w:t>
      </w:r>
    </w:p>
    <w:p>
      <w:pPr>
        <w:pStyle w:val="[Normal]"/>
        <w:spacing w:line="360" w:lineRule="auto"/>
        <w:ind w:firstLine="1134"/>
        <w:jc w:val="both"/>
        <w:rPr>
          <w:lang w:val="es-AR" w:eastAsia="es-AR" w:bidi="es-AR"/>
        </w:rPr>
      </w:pPr>
      <w:r>
        <w:rPr>
          <w:lang w:val="es-AR" w:eastAsia="es-AR" w:bidi="es-AR"/>
        </w:rPr>
        <w:t xml:space="preserve">Consigna antecedente jurisprudencial en apoyo de su postura.</w:t>
      </w:r>
    </w:p>
    <w:p>
      <w:pPr>
        <w:pStyle w:val="[Normal]"/>
        <w:spacing w:line="360" w:lineRule="auto"/>
        <w:ind w:firstLine="1134"/>
        <w:jc w:val="both"/>
        <w:rPr>
          <w:lang w:val="es-AR" w:eastAsia="es-AR" w:bidi="es-AR"/>
        </w:rPr>
      </w:pPr>
      <w:r>
        <w:rPr>
          <w:lang w:val="es-AR" w:eastAsia="es-AR" w:bidi="es-AR"/>
        </w:rPr>
        <w:t xml:space="preserve">Sostiene finalmente que el juez no puede decretar la inhabilidad del pagaré que sirve de base al proceso ejecutivo sin antes oír al ejecutado y que el orden público de la Ley de Defensa del Consumidor no implica sustituir a las partes ni decretar la nulidad absoluta de oficio.</w:t>
      </w:r>
    </w:p>
    <w:p>
      <w:pPr>
        <w:pStyle w:val="[Normal]"/>
        <w:spacing w:line="360" w:lineRule="auto"/>
        <w:ind w:firstLine="1134"/>
        <w:jc w:val="both"/>
        <w:rPr>
          <w:lang w:val="es-AR" w:eastAsia="es-AR" w:bidi="es-AR"/>
        </w:rPr>
      </w:pPr>
      <w:r>
        <w:rPr>
          <w:lang w:val="es-AR" w:eastAsia="es-AR" w:bidi="es-AR"/>
        </w:rPr>
        <w:t xml:space="preserve">Solicita se revoque el decisorio recurrido con expresa imposición de costas a la contraria y se regulen sus honorarios por sus tareas en esta instancia.</w:t>
      </w:r>
    </w:p>
    <w:p>
      <w:pPr>
        <w:pStyle w:val="[Normal]"/>
        <w:spacing w:line="360" w:lineRule="auto"/>
        <w:ind w:firstLine="1134"/>
        <w:jc w:val="both"/>
        <w:rPr>
          <w:lang w:val="es-AR" w:eastAsia="es-AR" w:bidi="es-AR"/>
        </w:rPr>
      </w:pPr>
      <w:r>
        <w:rPr>
          <w:lang w:val="es-AR" w:eastAsia="es-AR" w:bidi="es-AR"/>
        </w:rPr>
        <w:t xml:space="preserve">Entrando a resolver e ingresando al análisis del memorial presentado, debo resaltar que más allá del esfuerzo argumental desplegado por el recurrente, lo cierto es que el mismo omitió impugnar el argumento central desarrollado por el Juez de grado, esto es, que del pagaré titulo base de la presente ejecución y la solicitud de crédito acompañada por la ejecutante se aprecia que la misma no cumplió con la obligación de dar debida información al tomador del crédito y con ello dar cumplimiento a lo previsto en el artículo 36 de la Ley de Defensa del Consumidor, al no individualizar de manera completa los requisitos exigidos en el mismo; argumento sobre el cual media deserción del recurso actoral (conf. art. 260 y ccs. CPCC).</w:t>
      </w:r>
    </w:p>
    <w:p>
      <w:pPr>
        <w:pStyle w:val="[Normal]"/>
        <w:spacing w:line="360" w:lineRule="auto"/>
        <w:ind w:firstLine="1134"/>
        <w:jc w:val="both"/>
        <w:rPr>
          <w:lang w:val="es-AR" w:eastAsia="es-AR" w:bidi="es-AR"/>
        </w:rPr>
      </w:pPr>
      <w:r>
        <w:rPr>
          <w:lang w:val="es-AR" w:eastAsia="es-AR" w:bidi="es-AR"/>
        </w:rPr>
        <w:t xml:space="preserve">Por lo tanto, dicha insuficiencia recursiva deja incólume el pronunciamiento en revisión por falta de cuestionamiento idóneo del argumento central sobre los que el mismo se asienta, lo que sella la suerte adversa del recurso, según los dicho en el </w:t>
      </w:r>
      <w:r>
        <w:rPr>
          <w:color w:val="000000"/>
          <w:lang w:val="es-AR" w:eastAsia="es-AR" w:bidi="es-AR"/>
        </w:rPr>
        <w:t xml:space="preserve">acápite anterior.</w:t>
      </w:r>
      <w:r>
        <w:rPr>
          <w:lang w:val="es-AR" w:eastAsia="es-AR" w:bidi="es-AR"/>
        </w:rPr>
        <w:t xml:space="preserve"> </w:t>
      </w:r>
    </w:p>
    <w:p>
      <w:pPr>
        <w:pStyle w:val="[Normal]"/>
        <w:spacing w:line="360" w:lineRule="auto"/>
        <w:ind w:firstLine="1134"/>
        <w:jc w:val="both"/>
        <w:rPr>
          <w:color w:val="000000"/>
          <w:lang w:val="es-AR" w:eastAsia="es-AR" w:bidi="es-AR"/>
        </w:rPr>
      </w:pPr>
      <w:r>
        <w:rPr>
          <w:color w:val="000000"/>
          <w:lang w:val="es-AR" w:eastAsia="es-AR" w:bidi="es-AR"/>
        </w:rPr>
        <w:t xml:space="preserve">Misma suerte han de correr los agravios dirigido a cuestionar la declaración de oficio y la falta de traslado a la contraparte. </w:t>
      </w:r>
    </w:p>
    <w:p>
      <w:pPr>
        <w:pStyle w:val="[Normal]"/>
        <w:spacing w:line="360" w:lineRule="auto"/>
        <w:ind w:firstLine="1134"/>
        <w:jc w:val="both"/>
        <w:rPr>
          <w:color w:val="000000"/>
          <w:lang w:val="es-AR" w:eastAsia="es-AR" w:bidi="es-AR"/>
        </w:rPr>
      </w:pPr>
      <w:r>
        <w:rPr>
          <w:color w:val="000000"/>
          <w:lang w:val="es-AR" w:eastAsia="es-AR" w:bidi="es-AR"/>
        </w:rPr>
        <w:t xml:space="preserve">En punto a la primera de los quejas, es doctrina de este Tribunal que </w:t>
      </w:r>
      <w:r>
        <w:rPr>
          <w:lang w:val="es-AR" w:eastAsia="es-AR" w:bidi="es-AR"/>
        </w:rPr>
        <w:t xml:space="preserve">con base en el ejercicio de las atribuciones conferidas por el ordenamiento procesal (arg. arts. 34 inc. 5 apdo. "c" y 36 inc. 2 y concs., CPCC), el juez puede encuadrar el asunto como una relación de consumo a fin de subsumirlo en el art. 36 de la LDC </w:t>
      </w:r>
      <w:r>
        <w:rPr>
          <w:color w:val="000000"/>
          <w:lang w:val="es-AR" w:eastAsia="es-AR" w:bidi="es-AR"/>
        </w:rPr>
        <w:t xml:space="preserve">(CAP causa 3706 RSD Reg. 133/2019 del 19-11-2019, entre otras). A mayor abundamiento ha dicho esta Alzada al respecto en el citado antecedente que </w:t>
      </w:r>
      <w:r>
        <w:rPr>
          <w:i/>
          <w:color w:val="000000"/>
          <w:lang w:val="es-AR" w:eastAsia="es-AR" w:bidi="es-AR"/>
        </w:rPr>
        <w:t xml:space="preserve">"</w:t>
      </w:r>
      <w:r>
        <w:rPr>
          <w:i/>
          <w:lang w:val="es-AR" w:eastAsia="es-AR" w:bidi="es-AR"/>
        </w:rPr>
        <w:t xml:space="preserve">el argumento desplegado trasunta una comprensión inadecuada del principio dispositivo cuyos márgenes no pueden interpretarse con la misma rigidez según estemos frente a la inobservancia de normas dispositivas o, como ocurre en el presente caso, de normas imperativas que integran el orden público de protección del consumidor y no son susceptibles de renuncia expresa o tácita (art. 65 de la ley 24.240, art. 38 de la Constitución Provincial, ar. 42 de la Constitución Nacional). En efecto, la propia Corte en el fallo “Cuevas” relativizó el juego del principio dispositivo cuando aparecen comprometidas normas jurídicas tuitivas de consumidores y usuarios. Y, sobre tal inteligencia, entendió que los jueces se encuentran autorizados para controlar oficiosamente el cumplimiento de las exigencias impuestas en la LDC (C. 109.305 "Cuevas, Eduardo Alberto contra Salcedo, Alejandro Rene. Cobro Ejecutivo", 1 de Septiembre de 2010). Si bien en aquel precedente el asunto que se examinaba estaba ceñido a la mera determinación de la competencia, en tanto que lo que aquí se cuestiona es la posibilidad del magistrado de determinar el cauce procesal de la cuestión litigiosa, las propiedades diferenciales que presenta uno y otro caso no justifican razonablemente un tratamiento distinto, pues en el fondo el quid de la cuestión converge en el mismo punto: los límites de la facultad oficiosa del Juzgador para controlar el cumplimiento de normas imperativas de consumo en procesos judiciales de naturaleza ejecutiva.... Por otra parte, se impone señalar que en el marco del juicio ejecutivo existe una razón normativa especial que habilita la intervención oficiosa del Juez de grado en el examen previo de la cuestión. Y es que del art. 529 del CPCCBA se deduce que constituye un deber del juez examinar cuidadosamente si el título del ejecutante reúne las condiciones jurídicas requeridas por el orden jurídico para ser susceptible de ejecución por la vía ejecutiva. Al respecto, entiendo que una de esas condiciones es el cumplimiento de las normas que integran el orden público. Por lo que en el caso de los pagarés de consumo, la determinación de la idoneidad del título no puede desentenderse válidamente de los preceptos imperativos que conforman la LDC. En fin, la Ley de Defensa de los Consumidores, al enmarcar el objeto de su regulación en la esfera del orden público (art. 65), autoriza el activismo del juez en el control de la configuración interna del acto jurídico objeto de la pretensión procesal. En la era actual, el rol del juez no debe reducirse a la observación pasiva del devenir procesal, sino que está convocado a contribuir con la efectivización de los derechos de los más débiles ante el incontenible avance de las asimetrías sociales y económicas producidas en la realidad social (ALFERILLO, Pascual E., La función del juez en la aplicación de la ley de defensa del consumidor, Publicado en: LA LEY 02/07/2009 , 1  • LA LEY 2009-D , 967). Este desafío impone el abandono del clásico estado de pasividad procesal de la magistratura, de actuar únicamente a requerimiento de parte interesada, para tener un activismo en el control cierto y efectivo de los actos jurídicos concertados en el marco de relaciones asimétricas". 	</w:t>
      </w:r>
    </w:p>
    <w:p>
      <w:pPr>
        <w:pStyle w:val="[Normal]"/>
        <w:spacing w:line="360" w:lineRule="auto"/>
        <w:ind w:firstLine="1134"/>
        <w:jc w:val="both"/>
        <w:rPr>
          <w:lang w:val="es-AR" w:eastAsia="es-AR" w:bidi="es-AR"/>
        </w:rPr>
      </w:pPr>
      <w:r>
        <w:rPr>
          <w:color w:val="000000"/>
          <w:lang w:val="es-AR" w:eastAsia="es-AR" w:bidi="es-AR"/>
        </w:rPr>
        <w:t xml:space="preserve">Lo expuesto, se encuentra íntimamente ligado al cuestionamiento relativo a que </w:t>
      </w:r>
      <w:r>
        <w:rPr>
          <w:i/>
          <w:color w:val="000000"/>
          <w:lang w:val="es-AR" w:eastAsia="es-AR" w:bidi="es-AR"/>
        </w:rPr>
        <w:t xml:space="preserve">"</w:t>
      </w:r>
      <w:r>
        <w:rPr>
          <w:i/>
          <w:lang w:val="es-AR" w:eastAsia="es-AR" w:bidi="es-AR"/>
        </w:rPr>
        <w:t xml:space="preserve">el juez no puede decretar la inhabilidad del pagaré que sirve de base al proceso ejecutivo sin antes oír al ejecutado</w:t>
      </w:r>
      <w:r>
        <w:rPr>
          <w:lang w:val="es-AR" w:eastAsia="es-AR" w:bidi="es-AR"/>
        </w:rPr>
        <w:t xml:space="preserve">", por lo que a lo explicitado anteriormente cabe adunarle que no existe gravamen alguno que sustente el mencionado agravio por cuanto el mismo en el hipotético caso le podría causar algún perjuicio a la contraparte, pero no al recurrente.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Dres. Graciela Scaraffía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y confirmar el fallo apelado.</w:t>
      </w:r>
    </w:p>
    <w:p>
      <w:pPr>
        <w:pStyle w:val="[Normal]"/>
        <w:spacing w:line="360" w:lineRule="auto"/>
        <w:ind w:firstLine="1134"/>
        <w:jc w:val="both"/>
        <w:rPr>
          <w:lang w:val="es-AR" w:eastAsia="es-AR" w:bidi="es-AR"/>
        </w:rPr>
      </w:pPr>
      <w:r>
        <w:rPr>
          <w:lang w:val="es-AR" w:eastAsia="es-AR" w:bidi="es-AR"/>
        </w:rPr>
        <w:t xml:space="preserve">Imponer las costas de Alzada en el orden causado por no mediar contradictor (arts. 68 2do. párr ./9 del CPCC.).</w:t>
      </w:r>
    </w:p>
    <w:p>
      <w:pPr>
        <w:pStyle w:val="[Normal]"/>
        <w:spacing w:line="360" w:lineRule="auto"/>
        <w:ind w:firstLine="1134"/>
        <w:jc w:val="both"/>
        <w:rPr>
          <w:lang w:val="es-AR" w:eastAsia="es-AR" w:bidi="es-AR"/>
        </w:rPr>
      </w:pPr>
      <w:r>
        <w:rPr>
          <w:lang w:val="es-AR" w:eastAsia="es-AR" w:bidi="es-AR"/>
        </w:rPr>
        <w:t xml:space="preserve">Diferir la regulación de honorarios del letrado interviniente para una vez que adquieran firmeza los fijados en primera instancia. </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Dres. Graciela Scaraffía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Rechazar el recurso de apelación deducido y confirmar el fallo apelado.</w:t>
      </w:r>
    </w:p>
    <w:p>
      <w:pPr>
        <w:pStyle w:val="[Normal]"/>
        <w:spacing w:line="360" w:lineRule="auto"/>
        <w:ind w:firstLine="1134"/>
        <w:jc w:val="both"/>
        <w:rPr>
          <w:lang w:val="es-AR" w:eastAsia="es-AR" w:bidi="es-AR"/>
        </w:rPr>
      </w:pPr>
      <w:r>
        <w:rPr>
          <w:lang w:val="es-AR" w:eastAsia="es-AR" w:bidi="es-AR"/>
        </w:rPr>
        <w:t xml:space="preserve">Imponer las costas de Alzada en el orden causado por no mediar contradictor (arts. 68 2do. párr ./9 del CPCC.).</w:t>
      </w:r>
    </w:p>
    <w:p>
      <w:pPr>
        <w:pStyle w:val="[Normal]"/>
        <w:spacing w:line="360" w:lineRule="auto"/>
        <w:ind w:firstLine="1134"/>
        <w:jc w:val="both"/>
        <w:rPr>
          <w:lang w:val="es-AR" w:eastAsia="es-AR" w:bidi="es-AR"/>
        </w:rPr>
      </w:pPr>
      <w:r>
        <w:rPr>
          <w:lang w:val="es-AR" w:eastAsia="es-AR" w:bidi="es-AR"/>
        </w:rPr>
        <w:t xml:space="preserve">Diferir la regulación de honorarios del letrado interviniente para una vez que adquieran firmeza los fijados en primera instancia. </w:t>
      </w:r>
    </w:p>
    <w:p>
      <w:pPr>
        <w:pStyle w:val="[Normal]"/>
        <w:spacing w:line="360" w:lineRule="auto"/>
        <w:ind w:firstLine="1134"/>
        <w:rPr>
          <w:color w:val="000000"/>
          <w:lang w:val="es-AR" w:eastAsia="es-AR" w:bidi="es-AR"/>
        </w:rPr>
      </w:pPr>
      <w:r>
        <w:rPr>
          <w:lang w:val="es-AR" w:eastAsia="es-AR" w:bidi="es-AR"/>
        </w:rPr>
        <w:t xml:space="preserve">Regístrese. Notifíquese. Devuélvase.</w:t>
      </w: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01/12/2020 09:28:59 -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01/12/2020 09:35:24 -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01/12/2020 09:41:40 -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01/12/2020 09:56:36 -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‰8E")è$ÁÂ,jŠ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243702090004969712</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6" w:h="16832"/>
      <w:pgMar w:top="3231"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‰8E")è$ÁÂ,jŠ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243702090004969712</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character" w:styleId="STRONG">
    <w:name w:val="STRONG"/>
    <w:qFormat/>
    <w:rPr>
      <w:b/>
      <w:bCs/>
      <w:rtl w:val="off"/>
      <w:lang w:val="x-none" w:eastAsia="x-none" w:bidi="x-none"/>
    </w:rPr>
  </w:style>
  <w:style w:type="paragraph" w:styleId="Normal">
    <w:name w:val="Normal"/>
    <w:next w:val="Normal"/>
    <w:qFormat/>
    <w:pPr>
      <w:widowControl w:val="on"/>
      <w:shd w:val="clear" w:color="auto" w:fill="auto"/>
      <w:spacing w:before="0" w:after="0" w:line="240" w:lineRule="auto"/>
      <w:ind w:left="0" w:right="0" w:firstLine="0"/>
      <w:jc w:val="left"/>
    </w:pPr>
    <w:rPr>
      <w:rFonts w:ascii="Times New Roman" w:hAnsi="Times New Roman" w:eastAsia="Times New Roman" w:cs="Times New Roman"/>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