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194 /</w:t>
      </w:r>
      <w:r>
        <w:rPr>
          <w:b/>
          <w:color w:val="000000"/>
          <w:lang w:val="es-AR" w:eastAsia="es-AR" w:bidi="es-AR"/>
        </w:rPr>
        <w:t xml:space="preserve">2020</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1233/1235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diciembre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3914-20</w:t>
      </w:r>
      <w:r>
        <w:rPr>
          <w:lang w:val="es-AR" w:eastAsia="es-AR" w:bidi="es-AR"/>
        </w:rPr>
        <w:t xml:space="preserve"> caratulada </w:t>
      </w:r>
      <w:r>
        <w:rPr>
          <w:b/>
          <w:lang w:val="es-AR" w:eastAsia="es-AR" w:bidi="es-AR"/>
        </w:rPr>
        <w:t xml:space="preserve">"</w:t>
      </w:r>
      <w:r>
        <w:rPr>
          <w:b/>
          <w:color w:val="000000"/>
          <w:lang w:val="es-AR" w:eastAsia="es-AR" w:bidi="es-AR"/>
        </w:rPr>
        <w:t xml:space="preserve">ROMANO ARIEL JOSE S/SUCESION AB-INTESTATO</w:t>
      </w:r>
      <w:r>
        <w:rPr>
          <w:b/>
          <w:lang w:val="es-AR" w:eastAsia="es-AR" w:bidi="es-AR"/>
        </w:rPr>
        <w:t xml:space="preserve">"</w:t>
      </w:r>
      <w:r>
        <w:rPr>
          <w:lang w:val="es-AR" w:eastAsia="es-AR" w:bidi="es-AR"/>
        </w:rPr>
        <w:t xml:space="preserve">, Expte. N° </w:t>
      </w:r>
      <w:r>
        <w:rPr>
          <w:color w:val="000000"/>
          <w:lang w:val="es-AR" w:eastAsia="es-AR" w:bidi="es-AR"/>
        </w:rPr>
        <w:t xml:space="preserve">62.927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a-quo rechazó las tasaciones y valuaciones fiscales arrimadas por la Dra. Valeria Schutz a los fines de establecer la base regulatoria de honorarios, y fijó los estipendios de los profesionales intervinientes en autos por los trabajos realizados en primera instancia sobre la base del monto del acervo hereditario que surge de</w:t>
      </w:r>
      <w:r>
        <w:rPr>
          <w:b/>
          <w:lang w:val="es-AR" w:eastAsia="es-AR" w:bidi="es-AR"/>
        </w:rPr>
        <w:t xml:space="preserve"> </w:t>
      </w:r>
      <w:r>
        <w:rPr>
          <w:lang w:val="es-AR" w:eastAsia="es-AR" w:bidi="es-AR"/>
        </w:rPr>
        <w:t xml:space="preserve">las planillas de declaración jurada patrimonial de fs. 333, 383, 387, 389, 391 y 394/395, confeccionadas por las partes y oportunamente aprobadas.</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Dr. Schutz mediante el escrito electrónico de fecha 28/11/2019, el que fuera concedido en relación y con efecto suspensivo el día 03/03/2020, y contestado el dia 16/03/2020. Con fecha 17/09/2020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recurrente señala que la normativa arancelaria -articulo 35 ley 8904 y 14.967- prevé que en casos como el de marras la base regulatoria esta dada por la valuación fiscal vigente al momento de la regulación, y que por tanto debieron tenerse en cuenta a tales fines las valuaciones correspondientes al año 2019 oportunamente acompañadas -escrito de fecha 27/5/19-, no así de los años 2014 y 2015. Cita jurisprudencia.-</w:t>
      </w:r>
    </w:p>
    <w:p>
      <w:pPr>
        <w:pStyle w:val="[Normal]"/>
        <w:spacing w:line="360" w:lineRule="auto"/>
        <w:ind w:firstLine="1134"/>
        <w:jc w:val="both"/>
        <w:rPr>
          <w:lang w:val="es-AR" w:eastAsia="es-AR" w:bidi="es-AR"/>
        </w:rPr>
      </w:pPr>
      <w:r>
        <w:rPr>
          <w:lang w:val="es-AR" w:eastAsia="es-AR" w:bidi="es-AR"/>
        </w:rPr>
        <w:t xml:space="preserve">Añade que lo resuelto violenta además su derecho de propiedad por el carácter alimentario de los honorarios.-</w:t>
      </w:r>
    </w:p>
    <w:p>
      <w:pPr>
        <w:pStyle w:val="[Normal]"/>
        <w:spacing w:line="360" w:lineRule="auto"/>
        <w:ind w:firstLine="1134"/>
        <w:jc w:val="both"/>
        <w:rPr>
          <w:b/>
          <w:lang w:val="es-AR" w:eastAsia="es-AR" w:bidi="es-AR"/>
        </w:rPr>
      </w:pPr>
      <w:r>
        <w:rPr>
          <w:lang w:val="es-AR" w:eastAsia="es-AR" w:bidi="es-AR"/>
        </w:rPr>
        <w:t xml:space="preserve">Los obligados al pago, al contestar el traslado conferido, impetran el rechazo de la pieza recursiva deducida.-</w:t>
      </w:r>
    </w:p>
    <w:p>
      <w:pPr>
        <w:pStyle w:val="[Normal]"/>
        <w:spacing w:line="360" w:lineRule="auto"/>
        <w:ind w:firstLine="1134"/>
        <w:jc w:val="both"/>
        <w:rPr>
          <w:lang w:val="es-AR" w:eastAsia="es-AR" w:bidi="es-AR"/>
        </w:rPr>
      </w:pPr>
      <w:r>
        <w:rPr>
          <w:lang w:val="es-AR" w:eastAsia="es-AR" w:bidi="es-AR"/>
        </w:rPr>
        <w:t xml:space="preserve">Ya en tarea, he de adelantar que soy de la opinión que debe revocarse el resolutorio impugnado en cuanto fuera motivo de agravio.-</w:t>
      </w:r>
    </w:p>
    <w:p>
      <w:pPr>
        <w:pStyle w:val="[Normal]"/>
        <w:spacing w:line="360" w:lineRule="auto"/>
        <w:ind w:firstLine="1134"/>
        <w:jc w:val="both"/>
        <w:rPr>
          <w:lang w:val="es-AR" w:eastAsia="es-AR" w:bidi="es-AR"/>
        </w:rPr>
      </w:pPr>
      <w:r>
        <w:rPr>
          <w:lang w:val="es-AR" w:eastAsia="es-AR" w:bidi="es-AR"/>
        </w:rPr>
        <w:t xml:space="preserve">Es que tratándose la presente de una contienda sucesoria, ciertamente la cuestión regulatoria queda atrapada en la normativa del art. 35, ley arancelaria, que indica que para el caso de bienes inmuebles, se tomará el valor de la valuación fiscal vigente al momento de la regulación. Quiere decir, que resulta menester contar previamente con la valuaciones vigentes de los bienes denunciados como componentes del acervo sucesorio" (cfr. CC0003 SM 67911 I-101/14 I 22/5/2014).</w:t>
      </w:r>
    </w:p>
    <w:p>
      <w:pPr>
        <w:pStyle w:val="[Normal]"/>
        <w:spacing w:line="360" w:lineRule="auto"/>
        <w:ind w:firstLine="1134"/>
        <w:jc w:val="both"/>
        <w:rPr>
          <w:lang w:val="es-AR" w:eastAsia="es-AR" w:bidi="es-AR"/>
        </w:rPr>
      </w:pPr>
      <w:r>
        <w:rPr>
          <w:lang w:val="es-AR" w:eastAsia="es-AR" w:bidi="es-AR"/>
        </w:rPr>
        <w:t xml:space="preserve">Así, lo que corresponde abordar es si la regulación de los honorarios profesionales efectuada sobre valuaciones fiscales que datan de los años 2014 y 2015, se ajusta a la normativa del art. 35 de la L.H., y como se adelantara la respuesta es negativa.</w:t>
      </w:r>
    </w:p>
    <w:p>
      <w:pPr>
        <w:pStyle w:val="[Normal]"/>
        <w:spacing w:line="360" w:lineRule="auto"/>
        <w:ind w:firstLine="1134"/>
        <w:jc w:val="both"/>
        <w:rPr>
          <w:lang w:val="es-AR" w:eastAsia="es-AR" w:bidi="es-AR"/>
        </w:rPr>
      </w:pPr>
      <w:r>
        <w:rPr>
          <w:lang w:val="es-AR" w:eastAsia="es-AR" w:bidi="es-AR"/>
        </w:rPr>
        <w:t xml:space="preserve">Y sobre este tópico,  ya se ha pronunciado este Tribunal en el precedente "SOSPETTO, RAUL CESAR MARTIN S/ SUCESION AB INTESTATO", causa 577/10, en fecha 16/3/2011. Allí, en lo pertinente se dijo que: </w:t>
      </w:r>
      <w:r>
        <w:rPr>
          <w:b/>
          <w:i/>
          <w:lang w:val="es-AR" w:eastAsia="es-AR" w:bidi="es-AR"/>
        </w:rPr>
        <w:t xml:space="preserve"> </w:t>
      </w:r>
      <w:r>
        <w:rPr>
          <w:i/>
          <w:lang w:val="es-AR" w:eastAsia="es-AR" w:bidi="es-AR"/>
        </w:rPr>
        <w:t xml:space="preserve">"...</w:t>
      </w:r>
      <w:r>
        <w:rPr>
          <w:b/>
          <w:i/>
          <w:lang w:val="es-AR" w:eastAsia="es-AR" w:bidi="es-AR"/>
        </w:rPr>
        <w:t xml:space="preserve"> </w:t>
      </w:r>
      <w:r>
        <w:rPr>
          <w:i/>
          <w:lang w:val="es-AR" w:eastAsia="es-AR" w:bidi="es-AR"/>
        </w:rPr>
        <w:t xml:space="preserve">Ello así, no encuentro motivos para apartarme del criterio seguido hasta el presente por este Tribunal, relativo a que corresponde la aplicación del art. 35 de la ley 8904, que en forma específica refiere al juicio sucesorio. En el inciso a) del citado artículo se establece claramente que respecto a los bienes inmuebles se computará como base regulatoria la valuación fiscal vigente al momento de la regulación. No cabe admitir una tasación de sus valores al sólo efecto regulatorio, como para situaciones disímiles lo tiene previsto el art. 27 inc. a de la citada norma arancelaria, sino sólo en la situación excepcional contemplada en el mismo texto legal, en cuanto se dispone que este principio general cede cuando constare en el proceso un mayor valor por</w:t>
      </w:r>
      <w:r>
        <w:rPr>
          <w:lang w:val="es-AR" w:eastAsia="es-AR" w:bidi="es-AR"/>
        </w:rPr>
        <w:t xml:space="preserve"> </w:t>
      </w:r>
      <w:r>
        <w:rPr>
          <w:i/>
          <w:lang w:val="es-AR" w:eastAsia="es-AR" w:bidi="es-AR"/>
        </w:rPr>
        <w:t xml:space="preserve">tasación.</w:t>
      </w:r>
      <w:r>
        <w:rPr>
          <w:lang w:val="es-AR" w:eastAsia="es-AR" w:bidi="es-AR"/>
        </w:rPr>
        <w:t xml:space="preserve"> </w:t>
      </w:r>
      <w:r>
        <w:rPr>
          <w:i/>
          <w:lang w:val="es-AR" w:eastAsia="es-AR" w:bidi="es-AR"/>
        </w:rPr>
        <w:t xml:space="preserve">El criterio que acabo de referenciar se ajusta a la doctrina legal del Superior Tribunal provincial en la materia, que recientemente ha expresado:</w:t>
      </w:r>
      <w:r>
        <w:rPr>
          <w:lang w:val="es-AR" w:eastAsia="es-AR" w:bidi="es-AR"/>
        </w:rPr>
        <w:t xml:space="preserve"> </w:t>
      </w:r>
      <w:r>
        <w:rPr>
          <w:i/>
          <w:lang w:val="es-AR" w:eastAsia="es-AR" w:bidi="es-AR"/>
        </w:rPr>
        <w:t xml:space="preserve">"El régimen del art. 35 de nuestra ley de honorarios profesionales es de aplicación específica al proceso sucesorio: el referido art. 27 inc. a) gobierna lo referente a los demás juicios donde el objeto mediato de la pretensión está constituido por uno o más bienes inmuebles o derechos sobre ellos y tal circunstancia contrasta con el mismo elemento de la pretensión ventilada en un juicio sucesorio en el que se busca la determinación tanto de los sujetos con vocación hereditaria y la medida de ésta- como del acervo transmisible, universalidad jurídica que -entre otras cosas- puede estar compuesta por inmuebles. En el mismo sentido, cuando el legislador quiso en este marco- utilizar las figuras del art. 27 lo hizo de modo expreso, como ocurre en el inc. a) del art. 35 de la ley arancelaria con respecto a otros bienes". Y nada dijo respecto de los inmuebles, por lo cual considero que para la determinación de su valor a los fines regulatorios se habrá de estar a la valuación fiscal actualizada a la época en que se cuantifique la retribución del letrado...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Es que corresponde distinguir el supuesto en que el profesional  pretende acompañar tasaciones por encima de las valuaciones fiscales, discutir el monto fiscal del monto real, de la circunstancia del caso en que el letrado pretende  que se tome  en cuenta la valuación fiscal vigente al tiempo de la regulación de los honorarios profesionales, que es casualmente lo que edicta la norma arancelaria (art. 35).</w:t>
      </w:r>
    </w:p>
    <w:p>
      <w:pPr>
        <w:pStyle w:val="[Normal]"/>
        <w:spacing w:line="360" w:lineRule="auto"/>
        <w:ind w:firstLine="1134"/>
        <w:jc w:val="both"/>
        <w:rPr>
          <w:lang w:val="es-AR" w:eastAsia="es-AR" w:bidi="es-AR"/>
        </w:rPr>
      </w:pPr>
      <w:r>
        <w:rPr>
          <w:lang w:val="es-AR" w:eastAsia="es-AR" w:bidi="es-AR"/>
        </w:rPr>
        <w:t xml:space="preserve">En consecuencia, a los fines de regular los estipendios profesionales en el caso de marras, competía al juez de grado tomar en cuenta las valuaciones fiscales arrimadas por la recurrente mediante el escrito de fecha 27/5/19 -es decir, las vigentes al momento de la regulación-, no así las contenidas en las planillas de declaración jurada patrimonial de fs. 333, 383, 387, 389, 391 y 394/395.</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dejar sin efecto la regulación de los honorarios profesionales contenida en el fallo atacado, ordenándose se practique una nueva conforme lo expuesto en el último párrafo de los considerandos.</w:t>
      </w:r>
    </w:p>
    <w:p>
      <w:pPr>
        <w:pStyle w:val="[Normal]"/>
        <w:spacing w:line="360" w:lineRule="auto"/>
        <w:ind w:firstLine="1134"/>
        <w:jc w:val="both"/>
        <w:rPr>
          <w:lang w:val="es-AR" w:eastAsia="es-AR" w:bidi="es-AR"/>
        </w:rPr>
      </w:pPr>
      <w:r>
        <w:rPr>
          <w:lang w:val="es-AR" w:eastAsia="es-AR" w:bidi="es-AR"/>
        </w:rPr>
        <w:t xml:space="preserve">Sin costas en atención a lo resuelto al respecto en el fallo impugnado.-</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deducido, y en su mérito dejar sin efecto la regulación de los honorarios profesionales contenida en el fallo atacado, ordenándose se practique una nueva conforme lo expuesto en el último párrafo de los considerandos.</w:t>
      </w:r>
    </w:p>
    <w:p>
      <w:pPr>
        <w:pStyle w:val="[Normal]"/>
        <w:spacing w:line="360" w:lineRule="auto"/>
        <w:ind w:firstLine="1134"/>
        <w:jc w:val="both"/>
        <w:rPr>
          <w:lang w:val="es-AR" w:eastAsia="es-AR" w:bidi="es-AR"/>
        </w:rPr>
      </w:pPr>
      <w:r>
        <w:rPr>
          <w:lang w:val="es-AR" w:eastAsia="es-AR" w:bidi="es-AR"/>
        </w:rPr>
        <w:t xml:space="preserve">Sin costas en atención a lo resuelto al respecto en el fallo impugnado.</w:t>
      </w:r>
    </w:p>
    <w:p>
      <w:pPr>
        <w:pStyle w:val="[Normal]"/>
        <w:spacing w:line="360" w:lineRule="auto"/>
        <w:ind w:firstLine="1134"/>
        <w:jc w:val="both"/>
        <w:rPr>
          <w:lang w:val="es-AR" w:eastAsia="es-AR" w:bidi="es-AR"/>
        </w:rPr>
      </w:pPr>
      <w:r>
        <w:rPr>
          <w:lang w:val="es-AR" w:eastAsia="es-AR" w:bidi="es-AR"/>
        </w:rPr>
        <w:t xml:space="preserve">Regístrese. Notifíquese por Secretaría </w:t>
      </w:r>
      <w:r>
        <w:rPr>
          <w:color w:val="000000"/>
          <w:lang w:val="es-AR" w:eastAsia="es-AR" w:bidi="es-AR"/>
        </w:rPr>
        <w:t xml:space="preserve">(</w:t>
      </w:r>
      <w:r>
        <w:rPr>
          <w:lang w:val="es-AR" w:eastAsia="es-AR" w:bidi="es-AR"/>
        </w:rPr>
        <w:t xml:space="preserve">Ac. 3845 SCBA) remitiéndose copia digital de la presente resolución a los domicilios electrónicos de las respectivas partes que se detallan a continuación. Devuélvase.-</w:t>
      </w:r>
    </w:p>
    <w:p>
      <w:pPr>
        <w:pStyle w:val="[Normal]"/>
        <w:spacing w:line="360" w:lineRule="auto"/>
        <w:ind w:firstLine="1134"/>
        <w:jc w:val="both"/>
        <w:rPr>
          <w:lang w:val="es-AR" w:eastAsia="es-AR" w:bidi="es-AR"/>
        </w:rPr>
      </w:pPr>
      <w:r>
        <w:rPr>
          <w:noProof/>
          <w:color w:val="000000"/>
          <w:lang w:val="es-AR" w:eastAsia="es-AR" w:bidi="es-AR"/>
        </w:rPr>
        <w:t xml:space="preserve">20227715147@NOTIFICACIONES.SCBA.GOV.AR</w:t>
      </w:r>
    </w:p>
    <w:p>
      <w:pPr>
        <w:pStyle w:val="[Normal]"/>
        <w:spacing w:line="360" w:lineRule="auto"/>
        <w:ind w:firstLine="1134"/>
        <w:jc w:val="both"/>
        <w:rPr>
          <w:color w:val="000000"/>
          <w:lang w:val="es-AR" w:eastAsia="es-AR" w:bidi="es-AR"/>
        </w:rPr>
      </w:pPr>
      <w:r>
        <w:rPr>
          <w:noProof/>
          <w:color w:val="000000"/>
          <w:lang w:val="es-AR" w:eastAsia="es-AR" w:bidi="es-AR"/>
        </w:rPr>
        <w:t xml:space="preserve">27166755080@NOTIFICACIONES.SCBA.GOV.AR</w:t>
      </w:r>
    </w:p>
    <w:p>
      <w:pPr>
        <w:pStyle w:val="[Normal]"/>
        <w:spacing w:line="360" w:lineRule="auto"/>
        <w:ind w:firstLine="1134"/>
        <w:jc w:val="both"/>
        <w:rPr>
          <w:color w:val="000000"/>
          <w:lang w:val="es-AR" w:eastAsia="es-AR" w:bidi="es-AR"/>
        </w:rPr>
      </w:pPr>
      <w:r>
        <w:rPr>
          <w:noProof/>
          <w:color w:val="000000"/>
          <w:lang w:val="es-AR" w:eastAsia="es-AR" w:bidi="es-AR"/>
        </w:rPr>
        <w:t xml:space="preserve">20174092983@NOTIFICACIONES.SCBA.GOV.AR</w:t>
      </w:r>
    </w:p>
    <w:p>
      <w:pPr>
        <w:pStyle w:val="[Normal]"/>
        <w:spacing w:line="360" w:lineRule="auto"/>
        <w:ind w:firstLine="1134"/>
        <w:jc w:val="both"/>
        <w:rPr>
          <w:color w:val="000000"/>
          <w:lang w:val="es-AR" w:eastAsia="es-AR" w:bidi="es-AR"/>
        </w:rPr>
      </w:pPr>
      <w:r>
        <w:rPr>
          <w:noProof/>
          <w:color w:val="000000"/>
          <w:lang w:val="es-AR" w:eastAsia="es-AR" w:bidi="es-AR"/>
        </w:rPr>
        <w:t xml:space="preserve">20310822729@NOTIFICACIONES.SCBA.GOV.AR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09:55:14 -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09:58:19 -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10:26:14 -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22/12/2020 11:53:18 - BIANCO Luis Maria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20174092983@NOTIFICACIONES.SCBA.GOV.AR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20227715147@NOTIFICACIONES.SCBA.GOV.AR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20310822729@NOTIFICACIONES.SCBA.GOV.AR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27166755080@NOTIFICACIONES.SCBA.GOV.AR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‰97")è$ƒ2~gŠ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252302090004991894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3914 - 20 - ROMANO ARIEL JOSE S/SUCESION AB-INTESTATO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‰97")è$ƒ2~gŠ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252302090004991894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ff"/>
      <w:shd w:val="clear" w:color="auto" w:fill="auto"/>
      <w:spacing w:before="100" w:after="10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