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rPr>
          <w:lang w:val="es-AR" w:eastAsia="es-AR" w:bidi="es-AR"/>
        </w:rPr>
      </w:pPr>
    </w:p>
    <w:p>
      <w:pPr>
        <w:pStyle w:val="[Normal]"/>
        <w:spacing w:line="360" w:lineRule="auto"/>
        <w:ind w:firstLine="1134"/>
        <w:rPr>
          <w:lang w:val="es-AR" w:eastAsia="es-AR" w:bidi="es-AR"/>
        </w:rPr>
      </w:pPr>
      <w:r>
        <w:rPr>
          <w:b/>
          <w:lang w:val="es-AR" w:eastAsia="es-AR" w:bidi="es-AR"/>
        </w:rPr>
        <w:t xml:space="preserve">Registro N° 181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1163</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10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4025-20</w:t>
      </w:r>
      <w:r>
        <w:rPr>
          <w:lang w:val="es-AR" w:eastAsia="es-AR" w:bidi="es-AR"/>
        </w:rPr>
        <w:t xml:space="preserve"> caratulada </w:t>
      </w:r>
      <w:r>
        <w:rPr>
          <w:b/>
          <w:lang w:val="es-AR" w:eastAsia="es-AR" w:bidi="es-AR"/>
        </w:rPr>
        <w:t xml:space="preserve">"</w:t>
      </w:r>
      <w:r>
        <w:rPr>
          <w:b/>
          <w:color w:val="000000"/>
          <w:lang w:val="es-AR" w:eastAsia="es-AR" w:bidi="es-AR"/>
        </w:rPr>
        <w:t xml:space="preserve">CFN S.A.  C/ DRIVET KARINA BEATRIZ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63.509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Bernardo Louise y Roberto Manuel Degleue,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señor juez de la anterior instancia rechazó la presente ejecución e impuso las costas a la parte actora, quien deduce recurso de apelación en fecha 18/8/2020, el que es concedido en relación y con efecto suspensivo el 20/08/20. Encontrándose fundado el mismo, se eleva la causa en la misma fecha, y el día 1/09/20 se llama autos para dictar sentencia, providencia que firme a la fecha deja la causa en condiciones de ser fallada.</w:t>
      </w:r>
    </w:p>
    <w:p>
      <w:pPr>
        <w:pStyle w:val="[Normal]"/>
        <w:spacing w:line="360" w:lineRule="auto"/>
        <w:ind w:firstLine="1134"/>
        <w:jc w:val="both"/>
        <w:rPr>
          <w:color w:val="000000"/>
          <w:lang w:val="es-AR" w:eastAsia="es-AR" w:bidi="es-AR"/>
        </w:rPr>
      </w:pPr>
      <w:r>
        <w:rPr>
          <w:lang w:val="es-AR" w:eastAsia="es-AR" w:bidi="es-AR"/>
        </w:rPr>
        <w:t xml:space="preserve">El A-quo sostuvo en el pronunciamiento recurrido que de la documental adjuntada por la actora como adicional en la presente ejecución de pagaré, surgen las condiciones del préstamo otorgado. Reseña el detalle de la operatoria: "...</w:t>
      </w:r>
      <w:r>
        <w:rPr>
          <w:color w:val="000000"/>
          <w:lang w:val="es-AR" w:eastAsia="es-AR" w:bidi="es-AR"/>
        </w:rPr>
        <w:t xml:space="preserve"> </w:t>
      </w:r>
      <w:r>
        <w:rPr>
          <w:i/>
          <w:color w:val="000000"/>
          <w:lang w:val="es-AR" w:eastAsia="es-AR" w:bidi="es-AR"/>
        </w:rPr>
        <w:t xml:space="preserve">la solicitud de préstamo se firmó el día 21/11/2019 y el monto del préstamo alcanzaba a la suma de $51.110,51. El deudor debía restituír el capital con más los intereses pactados, en 24 cuotas mensuales, iguales y consecutivas, venciendo la primera de ellas el día 05/12/2019. Por su parte, el pagaré se libró, con fecha de vencimiento y sin protesto, por la cantidad de $170.709,12, el mismo día en que se firmó la solicitud de préstamo que le diera causa.</w:t>
      </w:r>
      <w:r>
        <w:rPr>
          <w:color w:val="000000"/>
          <w:lang w:val="es-AR" w:eastAsia="es-AR" w:bidi="es-AR"/>
        </w:rPr>
        <w:t xml:space="preserve">..", "</w:t>
      </w:r>
      <w:r>
        <w:rPr>
          <w:i/>
          <w:color w:val="000000"/>
          <w:lang w:val="es-AR" w:eastAsia="es-AR" w:bidi="es-AR"/>
        </w:rPr>
        <w:t xml:space="preserve">el acreedor formuló el requerimiento de pago, logrando un pago parcial y quedando un saldo impago, motivo por el cual reclama la suma de $69.145,83</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Destaca que el ejecutante refiere que la mora acaeció el 05/12/2019 de lo que concluye que "...</w:t>
      </w:r>
      <w:r>
        <w:rPr>
          <w:i/>
          <w:lang w:val="es-AR" w:eastAsia="es-AR" w:bidi="es-AR"/>
        </w:rPr>
        <w:t xml:space="preserve">al vencimiento de la primera cuota, el acreedor presentó al cobro el pagaré por el total de la deuda más los intereses por el tiempo aún no transcurrido</w:t>
      </w:r>
      <w:r>
        <w:rPr>
          <w:lang w:val="es-AR" w:eastAsia="es-AR" w:bidi="es-AR"/>
        </w:rPr>
        <w:t xml:space="preserve">", pero señala que no se aclara si percibió la suma de $ 101.563,29 en ese mismo acto, o después o si lo fue en un único momento, o en varias ocasiones y concluye que no resulta en absoluto razonable pensar que el deudor a la fecha de la presentación al cobro del pagaré pagara la suma de $ 101.563,29, porque de haber contado con esa cantidad ese día en el que vencía la primera cuota de $ 7.112,88 la habría pagado. Y además, se pregunta si el acreedor cobró $ 101.563,29 el día del vencimiento del pagaré, por qué no imputó el pago a las cuotas del préstamo.</w:t>
      </w:r>
    </w:p>
    <w:p>
      <w:pPr>
        <w:pStyle w:val="[Normal]"/>
        <w:spacing w:line="360" w:lineRule="auto"/>
        <w:ind w:firstLine="1134"/>
        <w:jc w:val="both"/>
        <w:rPr>
          <w:lang w:val="es-AR" w:eastAsia="es-AR" w:bidi="es-AR"/>
        </w:rPr>
      </w:pPr>
      <w:r>
        <w:rPr>
          <w:lang w:val="es-AR" w:eastAsia="es-AR" w:bidi="es-AR"/>
        </w:rPr>
        <w:t xml:space="preserve">Es por ello que deduce, de acuerdo a las máximas de la experiencia,  que el deudor fue realizando pagos a cuenta con posterioridad a la mora en que incurriera y estima que no habiendo sido claro el ejecutante en cuanto a la o las fechas en que habría recibido el o los pagos, el pagaré base de la ejecución resulta inhábil en tanto para que proceda la ejecución, la deuda debe ser líquida o fácilmente liquidable (Art. 518 del C.P.C. y su doct.); y, tal recaudo lo aprecia ausente en el título base de autos, pues al haber sido "integrado" con la solicitud de préstamo que hace a la causa -documental que establece la forma de pago de los intereses y la amortización del capital-, para perseguir el cobro de la deuda por la vía ejecutiva, debió precisar las fechas de los pagos a cuenta, sus montos e imputación de los mismos a capital e intereses, para así posibilitar el cálculo de lo adeudado, enfatizando que resulta "...</w:t>
      </w:r>
      <w:r>
        <w:rPr>
          <w:i/>
          <w:lang w:val="es-AR" w:eastAsia="es-AR" w:bidi="es-AR"/>
        </w:rPr>
        <w:t xml:space="preserve">lógicamente inaceptable la hipótesis de que el deudor pagara $101.563,29 a cuenta del pagaré, el mismo día en que vencía la cuota 1, por $7. 112,88, superando ampliamente el capital adeudado de $51.110,51</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El apelante al formular sus agravios se centra en que la relación causal es un mutuo oneroso y ante la falta de pago de intereses o cualquier amortización de capital, conforme el C.C.C. (art. 1529) el mutuante puede resolver el contrato y exigir la devolución de la totalidad más intereses, los compensatorios pactados hasta que la obligación se cancele y los moratorios por el retardo en el pago desde el vencimiento del plazo en que debía cumplirse la prestación.</w:t>
      </w:r>
    </w:p>
    <w:p>
      <w:pPr>
        <w:pStyle w:val="[Normal]"/>
        <w:spacing w:line="360" w:lineRule="auto"/>
        <w:ind w:firstLine="1134"/>
        <w:jc w:val="both"/>
        <w:rPr>
          <w:lang w:val="es-AR" w:eastAsia="es-AR" w:bidi="es-AR"/>
        </w:rPr>
      </w:pPr>
      <w:r>
        <w:rPr>
          <w:lang w:val="es-AR" w:eastAsia="es-AR" w:bidi="es-AR"/>
        </w:rPr>
        <w:t xml:space="preserve">Cita el fallo "Cubillas" de la SCBA, expresando que en cuanto al monto de la ejecución, se decidió que procedía dar curso a la ejecución por el capital que surgía del mutuo y supeditar el pronunciamiento acerca de los intereses para la oportunidad del dictado de la sentencia, pero en caso de abuso o desproporción (art. 771, Código Civil y Comercial). Y afirma que en la especie "El índice de la tasa de interés no es antijurídico atento a que se encuentra en armonía con el “precio medio del dinero para operaciones similares”.</w:t>
      </w:r>
    </w:p>
    <w:p>
      <w:pPr>
        <w:pStyle w:val="[Normal]"/>
        <w:spacing w:line="360" w:lineRule="auto"/>
        <w:ind w:firstLine="1134"/>
        <w:jc w:val="both"/>
        <w:rPr>
          <w:lang w:val="es-AR" w:eastAsia="es-AR" w:bidi="es-AR"/>
        </w:rPr>
      </w:pPr>
      <w:r>
        <w:rPr>
          <w:lang w:val="es-AR" w:eastAsia="es-AR" w:bidi="es-AR"/>
        </w:rPr>
        <w:t xml:space="preserve">Pide se despache la ejecución en los términos planteados en la demanda.</w:t>
      </w:r>
    </w:p>
    <w:p>
      <w:pPr>
        <w:pStyle w:val="[Normal]"/>
        <w:spacing w:line="360" w:lineRule="auto"/>
        <w:ind w:firstLine="1134"/>
        <w:jc w:val="both"/>
        <w:rPr>
          <w:lang w:val="es-AR" w:eastAsia="es-AR" w:bidi="es-AR"/>
        </w:rPr>
      </w:pPr>
      <w:r>
        <w:rPr>
          <w:lang w:val="es-AR" w:eastAsia="es-AR" w:bidi="es-AR"/>
        </w:rPr>
        <w:t xml:space="preserve">El supuesto de autos es análogo al considerado por este Tribunal en la causa N° 4000/20 caratulada "CFN S.A.  C/ ARIAS TOMAS S/ COBRO EJECUTIVO", el 20 de Octubre del 2020 -Reg. N° 148/2020-, por lo que habré de reproducir aquí, en lo pertinente, los conceptos allí desarrollados, anticipando que no le asiste razón al apelante en la crítica recursiva propiciada contra la sentencia. </w:t>
      </w:r>
    </w:p>
    <w:p>
      <w:pPr>
        <w:pStyle w:val="[Normal]"/>
        <w:spacing w:line="360" w:lineRule="auto"/>
        <w:ind w:firstLine="1134"/>
        <w:jc w:val="both"/>
        <w:rPr>
          <w:lang w:val="es-AR" w:eastAsia="es-AR" w:bidi="es-AR"/>
        </w:rPr>
      </w:pPr>
      <w:r>
        <w:rPr>
          <w:lang w:val="es-AR" w:eastAsia="es-AR" w:bidi="es-AR"/>
        </w:rPr>
        <w:t xml:space="preserve">En el caso traído, "...no considero que deba extenderse con carácter de doctrina legal, que en toda ejecución consumeril, dogmáticamente se ejecute el monto del mutuo y no del pagaré. De ser ello así, no hablaríamos de "pagaré de consumo" y la ejecución se limitaría solamente al contrato de mutuo. Corresponderá meritar cada caso en particular.</w:t>
      </w:r>
    </w:p>
    <w:p>
      <w:pPr>
        <w:pStyle w:val="[Normal]"/>
        <w:spacing w:line="360" w:lineRule="auto"/>
        <w:ind w:firstLine="1134"/>
        <w:jc w:val="both"/>
        <w:rPr>
          <w:lang w:val="es-AR" w:eastAsia="es-AR" w:bidi="es-AR"/>
        </w:rPr>
      </w:pPr>
      <w:r>
        <w:rPr>
          <w:lang w:val="es-AR" w:eastAsia="es-AR" w:bidi="es-AR"/>
        </w:rPr>
        <w:t xml:space="preserve">En autos, si bien el recurrente pone énfasis en lo relativo a la relación causal en medida que pareciera que la ejecución procurada es la del mutuo base, trátase como impetra en demanda de la ejecución de un pagaré y la circunstancia de que revista la calidad de aquellos que se han de integrar por una cuestión de cumplimiento con el art. 36 de la LDC, con documental del negocio que le antecede, ello no ha de suplir los recaudos exigibles en materia de habilidad de título ejecutivo, en el caso el carácter de líquida o fácilmente liquidable de la deuda perseguida, cuestión que corresponde examinar a la luz de la normativa comercial.</w:t>
      </w:r>
    </w:p>
    <w:p>
      <w:pPr>
        <w:pStyle w:val="[Normal]"/>
        <w:spacing w:line="360" w:lineRule="auto"/>
        <w:ind w:firstLine="1134"/>
        <w:jc w:val="both"/>
        <w:rPr>
          <w:lang w:val="es-AR" w:eastAsia="es-AR" w:bidi="es-AR"/>
        </w:rPr>
      </w:pPr>
      <w:r>
        <w:rPr>
          <w:lang w:val="es-AR" w:eastAsia="es-AR" w:bidi="es-AR"/>
        </w:rPr>
        <w:t xml:space="preserve">La deuda aquí ejecutada se reclama por un monto correspondiente a capital, más intereses y respecto de la cual se habría realizado uno o varios pagos parciales pero que a partir del propio relato efectuado en demanda, habrían sido en oportunidad que no permite concluir con razonabilidad el curso de los hechos.</w:t>
      </w:r>
    </w:p>
    <w:p>
      <w:pPr>
        <w:pStyle w:val="[Normal]"/>
        <w:spacing w:line="360" w:lineRule="auto"/>
        <w:ind w:firstLine="1134"/>
        <w:jc w:val="both"/>
        <w:rPr>
          <w:lang w:val="es-AR" w:eastAsia="es-AR" w:bidi="es-AR"/>
        </w:rPr>
      </w:pPr>
      <w:r>
        <w:rPr>
          <w:lang w:val="es-AR" w:eastAsia="es-AR" w:bidi="es-AR"/>
        </w:rPr>
        <w:t xml:space="preserve">Es decir, en el presente caso se excede la cuestión de determinación de intereses a posteriori y cómputo de pagos parciales. Tal como lo destaca el Juzgador Primero, no puede accederse al monto en ejecución en tanto se denuncia un pago parcial superior al capital, que se habría efectuado al tiempo de constitución en mora cuando correspondía el pago de la primer cuota.</w:t>
      </w:r>
    </w:p>
    <w:p>
      <w:pPr>
        <w:pStyle w:val="[Normal]"/>
        <w:spacing w:line="360" w:lineRule="auto"/>
        <w:ind w:firstLine="1134"/>
        <w:jc w:val="both"/>
        <w:rPr>
          <w:lang w:val="es-AR" w:eastAsia="es-AR" w:bidi="es-AR"/>
        </w:rPr>
      </w:pPr>
      <w:r>
        <w:rPr>
          <w:lang w:val="es-AR" w:eastAsia="es-AR" w:bidi="es-AR"/>
        </w:rPr>
        <w:t xml:space="preserve">El préstamo fue de $ 51.110,51, firmándose el contrato el día 21/11/2019, debiendo el deudor restituir el capital con más los intereses pactados, en 24 cuotas mensuales, iguales y consecutivas, venciendo la primera de ellas el día 5/12/2019 y se libró el pagaré con fecha de vencimiento y sin protesto, por la cantidad de $170.709,12 el mismo día en que se firmó la solicitud de préstamo que le diera causa y según se dice en demanda el acreedor formuló el requerimiento logrando un pago parcial y quedando un saldo por el cual reclama la suma de $69.145,83, habiendo acaecido la mora el 05/12/2019 -fecha de vencimiento de la primera cuota- pero no se aclara si percibió la suma de $ 101.563,29 en ese mismo acto, o después o si lo fue en un pago o en varios. Ciertamente como pone de relieve el A-quo, no se aprecia razonable la posibilidad de que el deudor a la fecha de la presentación al cobro del pagaré, abonara la suma de $ 101.563,29 si era la fecha de vencimiento de la primera cuota que ascendía a $ 7.112.</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Regístrese.- Notifíquese personalmente o electrónicamente a las partes (Ac. 3845 SCBA) remitiéndose copia digital de la presente sentencia los domicilios electrónicos de las respectivas partes que se detallan a continuación. Devuélvase.-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20322215232@NOTIFICACIONES.SCBA.GOV.AR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09:50:17 -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09:50:40 -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09:57:59 -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10:33:03 -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20322215232@NOTIFICACIONES.SCBA.GOV.AR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‰7X")è$ƒ/#-Š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235602090004991503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spacing w:line="360" w:lineRule="auto"/>
        <w:ind w:firstLine="1134"/>
        <w:rPr>
          <w:noProof/>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4025 - 20 - CFN S.A.  C/ DRIVET KARINA BEATRIZ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‰7X")è$ƒ/#-Š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235602090004991503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