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5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28/31</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11 de febrero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4073-20</w:t>
      </w:r>
      <w:r>
        <w:rPr>
          <w:b/>
          <w:lang w:val="es-AR" w:eastAsia="es-AR" w:bidi="es-AR"/>
        </w:rPr>
        <w:t xml:space="preserve"> </w:t>
      </w:r>
      <w:r>
        <w:rPr>
          <w:lang w:val="es-AR" w:eastAsia="es-AR" w:bidi="es-AR"/>
        </w:rPr>
        <w:t xml:space="preserve">caratulada </w:t>
      </w:r>
      <w:r>
        <w:rPr>
          <w:b/>
          <w:lang w:val="es-AR" w:eastAsia="es-AR" w:bidi="es-AR"/>
        </w:rPr>
        <w:t xml:space="preserve">"</w:t>
      </w:r>
      <w:r>
        <w:rPr>
          <w:b/>
          <w:color w:val="000000"/>
          <w:lang w:val="es-AR" w:eastAsia="es-AR" w:bidi="es-AR"/>
        </w:rPr>
        <w:t xml:space="preserve">ELECTRONICA MEGATONE S.A.  C/ DELGADO JULIO ALBERTO S/ COBRO EJECUTIVO</w:t>
      </w:r>
      <w:r>
        <w:rPr>
          <w:b/>
          <w:lang w:val="es-AR" w:eastAsia="es-AR" w:bidi="es-AR"/>
        </w:rPr>
        <w:t xml:space="preserve">"</w:t>
      </w:r>
      <w:r>
        <w:rPr>
          <w:lang w:val="es-AR" w:eastAsia="es-AR" w:bidi="es-AR"/>
        </w:rPr>
        <w:t xml:space="preserve">, Expte. N° 83.440</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Graciela Scaraffía, Bernardo Louise y Roberto Manuel Degleue, y estudiados los autos se resolvió  plantear y votar las siguientes: </w:t>
      </w:r>
    </w:p>
    <w:p>
      <w:pPr>
        <w:pStyle w:val="[Normal]"/>
        <w:spacing w:line="360" w:lineRule="auto"/>
        <w:ind w:firstLine="1134"/>
        <w:jc w:val="both"/>
        <w:rPr>
          <w:lang w:val="es-AR" w:eastAsia="es-AR" w:bidi="es-AR"/>
        </w:rPr>
      </w:pPr>
      <w:r>
        <w:rPr>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en lo apelado?.</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Scaraffía dijo:</w:t>
      </w:r>
    </w:p>
    <w:p>
      <w:pPr>
        <w:pStyle w:val="[Normal]"/>
        <w:spacing w:line="360" w:lineRule="auto"/>
        <w:ind w:firstLine="1134"/>
        <w:jc w:val="both"/>
        <w:rPr>
          <w:lang w:val="es-AR" w:eastAsia="es-AR" w:bidi="es-AR"/>
        </w:rPr>
      </w:pPr>
      <w:r>
        <w:rPr>
          <w:lang w:val="es-AR" w:eastAsia="es-AR" w:bidi="es-AR"/>
        </w:rPr>
        <w:t xml:space="preserve">La señora Juez de primera instancia dictó sentencia mandando llevar a cabo la ejecución hasta tanto Julio Alberto Delgado haga al acreedor </w:t>
      </w:r>
      <w:r>
        <w:rPr>
          <w:color w:val="000000"/>
          <w:lang w:val="es-AR" w:eastAsia="es-AR" w:bidi="es-AR"/>
        </w:rPr>
        <w:t xml:space="preserve">ELECTRONICA MEGATONE S.A.</w:t>
      </w:r>
      <w:r>
        <w:rPr>
          <w:lang w:val="es-AR" w:eastAsia="es-AR" w:bidi="es-AR"/>
        </w:rPr>
        <w:t xml:space="preserve"> íntegro pago del capital dado en préstamo ($14.937,15), con más el interés a la tasa pasiva anual promedio del mercado difundida por el Banco Central de la República Argentina vigente a la fecha de celebración del contrato, desde la fecha de mora declarada (05/04/2018), con más las costas de la ejecución.</w:t>
      </w:r>
      <w:r>
        <w:rPr>
          <w:b/>
          <w:lang w:val="es-AR" w:eastAsia="es-AR" w:bidi="es-AR"/>
        </w:rPr>
        <w:t xml:space="preserve"> </w:t>
      </w:r>
      <w:r>
        <w:rPr>
          <w:lang w:val="es-AR" w:eastAsia="es-AR" w:bidi="es-AR"/>
        </w:rPr>
        <w:t xml:space="preserve">Finalmente difirió la regulación de honorarios del letrado interviniente hasta tanto obre en autos liquidación firme.  </w:t>
      </w:r>
    </w:p>
    <w:p>
      <w:pPr>
        <w:pStyle w:val="[Normal]"/>
        <w:spacing w:line="360" w:lineRule="auto"/>
        <w:ind w:firstLine="1134"/>
        <w:jc w:val="both"/>
        <w:rPr>
          <w:lang w:val="es-AR" w:eastAsia="es-AR" w:bidi="es-AR"/>
        </w:rPr>
      </w:pPr>
      <w:r>
        <w:rPr>
          <w:lang w:val="es-AR" w:eastAsia="es-AR" w:bidi="es-AR"/>
        </w:rPr>
        <w:t xml:space="preserve">Disconforme con lo resuelto apela el accionante mediante presentación electrónica de fecha 27-8-2020, concedido en relación el 28-8-2020, fundado el recurso en el acto de su interposición, no habiendo la contraria contestado el traslado conferido.   </w:t>
      </w:r>
    </w:p>
    <w:p>
      <w:pPr>
        <w:pStyle w:val="[Normal]"/>
        <w:spacing w:line="360" w:lineRule="auto"/>
        <w:ind w:firstLine="1134"/>
        <w:jc w:val="both"/>
        <w:rPr>
          <w:lang w:val="es-AR" w:eastAsia="es-AR" w:bidi="es-AR"/>
        </w:rPr>
      </w:pPr>
      <w:r>
        <w:rPr>
          <w:lang w:val="es-AR" w:eastAsia="es-AR" w:bidi="es-AR"/>
        </w:rPr>
        <w:t xml:space="preserve">Elevados los autos, pasan para resolver el 29-9-2020,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quejosa se agravia únicamente de la tasa de interés dispuesta y peticiona se reconozca la aplicación de intereses compensatorios y moratorios convenidos.</w:t>
      </w:r>
    </w:p>
    <w:p>
      <w:pPr>
        <w:pStyle w:val="[Normal]"/>
        <w:spacing w:line="360" w:lineRule="auto"/>
        <w:ind w:firstLine="1134"/>
        <w:jc w:val="both"/>
        <w:rPr>
          <w:lang w:val="es-AR" w:eastAsia="es-AR" w:bidi="es-AR"/>
        </w:rPr>
      </w:pPr>
      <w:r>
        <w:rPr>
          <w:lang w:val="es-AR" w:eastAsia="es-AR" w:bidi="es-AR"/>
        </w:rPr>
        <w:t xml:space="preserve">En apoyo a su postura sostiene que la magistrada no expone argumentos de hecho ni analiza las tasas pactadas para declararlas abusivas, simplemente menciona que “…siendo declarada la ineficacia del pacto de intereses sobre las tasas indicadas, corresponde la aplicación de los intereses normados por el art 36 de la LDC…”.</w:t>
      </w:r>
    </w:p>
    <w:p>
      <w:pPr>
        <w:pStyle w:val="[Normal]"/>
        <w:spacing w:line="360" w:lineRule="auto"/>
        <w:ind w:firstLine="1134"/>
        <w:jc w:val="both"/>
        <w:rPr>
          <w:lang w:val="es-AR" w:eastAsia="es-AR" w:bidi="es-AR"/>
        </w:rPr>
      </w:pPr>
      <w:r>
        <w:rPr>
          <w:lang w:val="es-AR" w:eastAsia="es-AR" w:bidi="es-AR"/>
        </w:rPr>
        <w:t xml:space="preserve">Entiende que el problema surge porque la sentenciante confunde lo que denomina “…la capitalización anticipada…” con los intereses pactados y las tasas aceptadas por el consumidor.</w:t>
      </w:r>
    </w:p>
    <w:p>
      <w:pPr>
        <w:pStyle w:val="[Normal]"/>
        <w:spacing w:line="360" w:lineRule="auto"/>
        <w:ind w:firstLine="1134"/>
        <w:jc w:val="both"/>
        <w:rPr>
          <w:lang w:val="es-AR" w:eastAsia="es-AR" w:bidi="es-AR"/>
        </w:rPr>
      </w:pPr>
      <w:r>
        <w:rPr>
          <w:lang w:val="es-AR" w:eastAsia="es-AR" w:bidi="es-AR"/>
        </w:rPr>
        <w:t xml:space="preserve">Asimismo, manifiesta que existen contradicciones en la sentencia atacada en tanto si bien decide declarar la ineficacia del pacto sobre las tasas indicadas y en consecuencia aplicar la tasa promedio pasiva del BCRA, luego aclara que “…si lo pactado resulta abusivo, contrario a la moral, excesivo, la Suscripta en su hora hará uso de las facultades de morigerar…".</w:t>
      </w:r>
    </w:p>
    <w:p>
      <w:pPr>
        <w:pStyle w:val="[Normal]"/>
        <w:spacing w:line="360" w:lineRule="auto"/>
        <w:ind w:firstLine="1134"/>
        <w:jc w:val="both"/>
        <w:rPr>
          <w:lang w:val="es-AR" w:eastAsia="es-AR" w:bidi="es-AR"/>
        </w:rPr>
      </w:pPr>
      <w:r>
        <w:rPr>
          <w:lang w:val="es-AR" w:eastAsia="es-AR" w:bidi="es-AR"/>
        </w:rPr>
        <w:t xml:space="preserve">En otro punto destaca que la sentencia fija un solo tipo de interés, cuando no hay ningún obstáculo para que puedan acumularse los intereses compensatorios y los moratorios pues ambos responden a causas distintas.</w:t>
      </w:r>
    </w:p>
    <w:p>
      <w:pPr>
        <w:pStyle w:val="[Normal]"/>
        <w:spacing w:line="360" w:lineRule="auto"/>
        <w:ind w:firstLine="1134"/>
        <w:jc w:val="both"/>
        <w:rPr>
          <w:lang w:val="es-AR" w:eastAsia="es-AR" w:bidi="es-AR"/>
        </w:rPr>
      </w:pPr>
      <w:r>
        <w:rPr>
          <w:lang w:val="es-AR" w:eastAsia="es-AR" w:bidi="es-AR"/>
        </w:rPr>
        <w:t xml:space="preserve">Solicita se revoque parcialmente la sentencia modificándose la tasa aplicada y se apliquen  intereses compensatorios y moratorios sobre el capital.</w:t>
      </w:r>
    </w:p>
    <w:p>
      <w:pPr>
        <w:pStyle w:val="[Normal]"/>
        <w:spacing w:line="360" w:lineRule="auto"/>
        <w:ind w:firstLine="1134"/>
        <w:jc w:val="both"/>
        <w:rPr>
          <w:lang w:val="es-AR" w:eastAsia="es-AR" w:bidi="es-AR"/>
        </w:rPr>
      </w:pPr>
      <w:r>
        <w:rPr>
          <w:lang w:val="es-AR" w:eastAsia="es-AR" w:bidi="es-AR"/>
        </w:rPr>
        <w:t xml:space="preserve"> Liminarmente, he de señalar que la cuestión traída a esta Alzada encuentra su conflicto en la aplicación e integración de la normativa mercantil (Dec. Ley 5965/63) y la Ley de Defensa del Consumidor (Ley 24.240), cuestión compleja que acarrean los títulos ejecutivos creados en el marco de una relación de consumo, que ha dado lugar a una frondosa y variada doctrina y jurisprudencia.</w:t>
      </w:r>
    </w:p>
    <w:p>
      <w:pPr>
        <w:pStyle w:val="[Normal]"/>
        <w:spacing w:line="360" w:lineRule="auto"/>
        <w:ind w:firstLine="1134"/>
        <w:jc w:val="both"/>
        <w:rPr>
          <w:lang w:val="es-AR" w:eastAsia="es-AR" w:bidi="es-AR"/>
        </w:rPr>
      </w:pPr>
      <w:r>
        <w:rPr>
          <w:lang w:val="es-AR" w:eastAsia="es-AR" w:bidi="es-AR"/>
        </w:rPr>
        <w:t xml:space="preserve">Si bien en nuestro caso, el recurrente consintió la normativa consumeril aplicada de oficio pues no se agravia al respecto, circunscribe su queja a la morigeración de los intereses dispuesta por la sentenciante de grado.</w:t>
      </w:r>
    </w:p>
    <w:p>
      <w:pPr>
        <w:pStyle w:val="[Normal]"/>
        <w:spacing w:line="360" w:lineRule="auto"/>
        <w:ind w:firstLine="1134"/>
        <w:jc w:val="both"/>
        <w:rPr>
          <w:lang w:val="es-AR" w:eastAsia="es-AR" w:bidi="es-AR"/>
        </w:rPr>
      </w:pPr>
      <w:r>
        <w:rPr>
          <w:lang w:val="es-AR" w:eastAsia="es-AR" w:bidi="es-AR"/>
        </w:rPr>
        <w:t xml:space="preserve">Sobre dicha temática debo anticipar que ya me he pronunciado en las causas Nro. 3818 "CREDINEGOCIOS MOSCASIL S.A. c/ Vazquez Marcelo Fabian s/ cobro ejecutivo" del 4-6-2020 Reg. Nro. 66 y Nro. 3959 "</w:t>
      </w:r>
      <w:r>
        <w:rPr>
          <w:color w:val="000000"/>
          <w:lang w:val="es-AR" w:eastAsia="es-AR" w:bidi="es-AR"/>
        </w:rPr>
        <w:t xml:space="preserve">CFN S.A.  c/ Lucci, Norma Beatriz s/ cobro ejecutivo</w:t>
      </w:r>
      <w:r>
        <w:rPr>
          <w:lang w:val="es-AR" w:eastAsia="es-AR" w:bidi="es-AR"/>
        </w:rPr>
        <w:t xml:space="preserve">" del 20-10-2020 Reg. Nro. 149, entre otras.</w:t>
      </w:r>
    </w:p>
    <w:p>
      <w:pPr>
        <w:pStyle w:val="[Normal]"/>
        <w:spacing w:line="360" w:lineRule="auto"/>
        <w:ind w:firstLine="1134"/>
        <w:jc w:val="both"/>
        <w:rPr>
          <w:lang w:val="es-AR" w:eastAsia="es-AR" w:bidi="es-AR"/>
        </w:rPr>
      </w:pPr>
      <w:r>
        <w:rPr>
          <w:lang w:val="es-AR" w:eastAsia="es-AR" w:bidi="es-AR"/>
        </w:rPr>
        <w:t xml:space="preserve"> En aquellas oportunidades, me expedí mandando a pagar capital más intereses pactados, sin perjuicio de diferir la evaluación de si los mismos resultaban excesivos y contrarios a la moral y buenas costumbres al momento procesal de examinar la liquidación, teniendo en cuenta lo que disponen los arts. 10, 279, 771, 794 y ccs. del Código Civil y Comercial.</w:t>
      </w:r>
    </w:p>
    <w:p>
      <w:pPr>
        <w:pStyle w:val="[Normal]"/>
        <w:spacing w:line="360" w:lineRule="auto"/>
        <w:ind w:firstLine="1134"/>
        <w:jc w:val="both"/>
        <w:rPr>
          <w:lang w:val="es-AR" w:eastAsia="es-AR" w:bidi="es-AR"/>
        </w:rPr>
      </w:pPr>
      <w:r>
        <w:rPr>
          <w:lang w:val="es-AR" w:eastAsia="es-AR" w:bidi="es-AR"/>
        </w:rPr>
        <w:t xml:space="preserve"> De modo que la similitud formal y sustancial de los precedentes aludidos con la presente causa resulta evidente y comprobable. En este sentido, cabe aseverar que el respeto al propio precedente es la traducción jurídica del requisito de la universalidad que debe presidir a la argumentación jurídica. Constituye, en tal aspecto, una regla de racionalidad que garantiza la actuación no arbitraria de los órganos jurisdiccionales y que, en consecuencia, deja intacto el sistema de fuentes de nuestro Derecho articulado en tomo al principio de legalidad. Al decir de Abellán Gascón, "el respeto al precedente supone, pues, un género de motivación especial cuyo sentido podría formularse como sigue: hay que interpretar el Derecho conforme a criterios que, por considerarlos correctos, se estuviera dispuesto a utilizar en la resolución de todos los casos iguales que puedan presentarse en el futuro" (Cf. ABELLÁN GASCÓN, Marina, Igualdad y respeto al precedente, Universidad de Castilla La Mancha, pag. 233). </w:t>
      </w:r>
    </w:p>
    <w:p>
      <w:pPr>
        <w:pStyle w:val="[Normal]"/>
        <w:spacing w:line="360" w:lineRule="auto"/>
        <w:ind w:firstLine="1134"/>
        <w:jc w:val="both"/>
        <w:rPr>
          <w:lang w:val="es-AR" w:eastAsia="es-AR" w:bidi="es-AR"/>
        </w:rPr>
      </w:pPr>
      <w:r>
        <w:rPr>
          <w:lang w:val="es-AR" w:eastAsia="es-AR" w:bidi="es-AR"/>
        </w:rPr>
        <w:t xml:space="preserve">Empero, la regla precitada no significa que los órganos judiciales no puedan modificar sus propios precedentes, sino que en tal caso deberán hacerlo en términos que permitan apreciar que el nuevo criterio interpretativo ha sido adoptado como solución genérica dotada de vocación para ser aplicada en casos futuros o como solución justificada en las características diferenciales que presente el caso nuevo respecto a los casos en base a los cuales se consolidó el precedente. De manera que lo que prohíbe el principio de igualdad en la aplicación de la Ley es el cambio irreflexivo o arbitrario, y no el cambio legítimo y razonable, es decir, basado en razones jurídicas objetivas que excluyan todo significado de resolución ad personam.</w:t>
      </w:r>
    </w:p>
    <w:p>
      <w:pPr>
        <w:pStyle w:val="[Normal]"/>
        <w:spacing w:line="360" w:lineRule="auto"/>
        <w:ind w:firstLine="1134"/>
        <w:jc w:val="both"/>
        <w:rPr>
          <w:lang w:val="es-AR" w:eastAsia="es-AR" w:bidi="es-AR"/>
        </w:rPr>
      </w:pPr>
      <w:r>
        <w:rPr>
          <w:lang w:val="es-AR" w:eastAsia="es-AR" w:bidi="es-AR"/>
        </w:rPr>
        <w:t xml:space="preserve"> Y dado que las características particulares del presente caso no invalidan la aplicación del autoprecedente sentado en las causas de referencia corresponde adoptar una solución que guarde coherencia lógica y jurídica con la mentada resolución.</w:t>
      </w:r>
    </w:p>
    <w:p>
      <w:pPr>
        <w:pStyle w:val="[Normal]"/>
        <w:spacing w:line="360" w:lineRule="auto"/>
        <w:ind w:firstLine="1134"/>
        <w:jc w:val="both"/>
        <w:rPr>
          <w:lang w:val="es-AR" w:eastAsia="es-AR" w:bidi="es-AR"/>
        </w:rPr>
      </w:pPr>
      <w:r>
        <w:rPr>
          <w:lang w:val="es-AR" w:eastAsia="es-AR" w:bidi="es-AR"/>
        </w:rPr>
        <w:t xml:space="preserve">Sentado ello, e ingresando de lleno al análisis relativo a la morigeración de los intereses dispuesta por el a-quo, si bien el CCyC atribuye a los jueces dicha facultad cuando la tasa fijada pueda importar una carga desmedida para el deudor, o exceda sin justificación y desproporcionadamente, el costo medio del dinero para deudores y operaciones similares en el lugar donde se contrajo la obligación (art. 771 CCyC), conforme me he expedido en las causas a las que hice referencia al comenzar el desarrollo de mi voto, considero que corresponde posponer el análisis de las cláusulas de intereses para el momento de la liquidación desde que en esa ocasión se va a poder determinar con exactitud y precisión la suma total que corresponde a intereses, ya sean compensatorios, punitorios y desde la fecha de la mora.</w:t>
      </w:r>
    </w:p>
    <w:p>
      <w:pPr>
        <w:pStyle w:val="[Normal]"/>
        <w:spacing w:line="360" w:lineRule="auto"/>
        <w:ind w:firstLine="1134"/>
        <w:jc w:val="both"/>
        <w:rPr>
          <w:color w:val="000000"/>
          <w:lang w:val="es-AR" w:eastAsia="es-AR" w:bidi="es-AR"/>
        </w:rPr>
      </w:pPr>
      <w:r>
        <w:rPr>
          <w:lang w:val="es-AR" w:eastAsia="es-AR" w:bidi="es-AR"/>
        </w:rPr>
        <w:t xml:space="preserve">En este sentido, he dicho que ello no importa vulnerar la cualidad de cosa juzgada de la sentencia judicial, habida cuenta de que la revisión ulterior del monto de los intereses bien puede estar prevista en la propia resolución de condena. No media en estos supuestos una afectación del derecho constitucional de propiedad, sino más bien una modalización temporal de la sentencia judicial que contempla en su propio espectro virtual la posibilidad de controlar la abusividad de los intereses en la etapa de liquidación que es, en definitiva, el momento procesal en el que se puede establecer con precisión la cuantía exacta de los intereses devengados (conf. causa N° 3885 "CREDINEGOCIOS MOSCASIL S.A.  C/ Mendez Ariel Esteban y otro s/ cobro ejecutivo").</w:t>
      </w:r>
    </w:p>
    <w:p>
      <w:pPr>
        <w:pStyle w:val="[Normal]"/>
        <w:spacing w:line="360" w:lineRule="auto"/>
        <w:ind w:firstLine="1134"/>
        <w:jc w:val="both"/>
        <w:rPr>
          <w:lang w:val="es-AR" w:eastAsia="es-AR" w:bidi="es-AR"/>
        </w:rPr>
      </w:pPr>
      <w:r>
        <w:rPr>
          <w:lang w:val="es-AR" w:eastAsia="es-AR" w:bidi="es-AR"/>
        </w:rPr>
        <w:t xml:space="preserve">Cabe señalar también que el carácter completo de la sentencia de condena no implica necesariamente que ésta habrá de precisar la suma nominal debida en forma definitiva, sino tan sólo que debe prever las bases jurídicas para determinar lo realmente adeudado. Por lo que, como dije, nada empece a que la resolución aludida difiera el control de abusividad de los intereses para el momento de la liquidación.</w:t>
      </w:r>
    </w:p>
    <w:p>
      <w:pPr>
        <w:pStyle w:val="[Normal]"/>
        <w:spacing w:line="360" w:lineRule="auto"/>
        <w:ind w:firstLine="1134"/>
        <w:jc w:val="both"/>
        <w:rPr>
          <w:lang w:val="es-AR" w:eastAsia="es-AR" w:bidi="es-AR"/>
        </w:rPr>
      </w:pPr>
      <w:r>
        <w:rPr>
          <w:lang w:val="es-AR" w:eastAsia="es-AR" w:bidi="es-AR"/>
        </w:rPr>
        <w:t xml:space="preserve">De manera que existen razones lógicas y prácticas que justifican el diferimiento de dicho análisis para la oportunidad de referencia. Y a los fines de asegurar la inmutabilidad de la cosa juzgada (que en esta materia, cabe agregar, es relativa y no absoluta por tratarse de una cosa juzgada de tipo formal), lo esencial es que las operaciones determinativas posteriores al dictado de la sentencia no aparezcan como maniobras ajenas al decisorio, sino como la plasmación efectiva de criterios determinativos allí contemplados (art. 165 y 549 del CPCCBA), aún cuando tal aplicación sea diferida y no obstante que su realización implique algún grado de valoración jurídica y no meramente matemática.</w:t>
      </w:r>
    </w:p>
    <w:p>
      <w:pPr>
        <w:pStyle w:val="[Normal]"/>
        <w:spacing w:line="360" w:lineRule="auto"/>
        <w:ind w:firstLine="1134"/>
        <w:jc w:val="both"/>
        <w:rPr>
          <w:lang w:val="es-AR" w:eastAsia="es-AR" w:bidi="es-AR"/>
        </w:rPr>
      </w:pPr>
      <w:r>
        <w:rPr>
          <w:lang w:val="es-AR" w:eastAsia="es-AR" w:bidi="es-AR"/>
        </w:rPr>
        <w:t xml:space="preserve">En función de lo expuesto, propongo a mis colega modificar en este punto el pronunciamiento de grado por lo que al monto de capital se le adicionaran los intereses convenidos en el título base de la ejecución, sin perjuicio de que se evaluarán si los mismos son excesivos y contrarios a la moral y las buenas costumbres en el momento de examinar la liquidación, teniendo en cuenta lo que disponen los art. 10, 279, 771, 794 y cc. del Código Civil y Comercial.</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Roberto Manuel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Scaraffía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de apelación deducido y en consecuencia modificar la sentencia de grado en el punto relativo a los intereses, debiéndose aplicar los convenidos en el título base de la ejecución, sin perjuicio de que se evaluarán si los mismos son excesivos y contrarios a la moral y las buenas costumbres en el momento de examinar la liquidación, teniendo en cuenta lo que disponen los art. 10, 279, 771, 794 y cc. del Código Civil y Comercial.</w:t>
      </w:r>
    </w:p>
    <w:p>
      <w:pPr>
        <w:pStyle w:val="[Normal]"/>
        <w:spacing w:line="360" w:lineRule="auto"/>
        <w:ind w:firstLine="1134"/>
        <w:jc w:val="both"/>
        <w:rPr>
          <w:lang w:val="es-AR" w:eastAsia="es-AR" w:bidi="es-AR"/>
        </w:rPr>
      </w:pPr>
      <w:r>
        <w:rPr>
          <w:lang w:val="es-AR" w:eastAsia="es-AR" w:bidi="es-AR"/>
        </w:rPr>
        <w:t xml:space="preserve">Sin costas por no mediar contradictor (arts. 68 1° parte a contrario sensu del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Roberto Manuel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al recurso de apelación deducido y en consecuencia modificar la sentencia de grado en el punto relativo a los intereses, debiéndose aplicar los convenidos en el título base de la ejecución, sin perjuicio de que se evaluarán si los mismos son excesivos y contrarios a la moral y las buenas costumbres en el momento de examinar la liquidación, teniendo en cuenta lo que disponen los art. 10, 279, 771, 794 y cc. del Código Civil y Comercial.</w:t>
      </w:r>
    </w:p>
    <w:p>
      <w:pPr>
        <w:pStyle w:val="[Normal]"/>
        <w:spacing w:line="360" w:lineRule="auto"/>
        <w:ind w:firstLine="1134"/>
        <w:jc w:val="both"/>
        <w:rPr>
          <w:lang w:val="es-AR" w:eastAsia="es-AR" w:bidi="es-AR"/>
        </w:rPr>
      </w:pPr>
      <w:r>
        <w:rPr>
          <w:lang w:val="es-AR" w:eastAsia="es-AR" w:bidi="es-AR"/>
        </w:rPr>
        <w:t xml:space="preserve">Sin costas por no mediar contradictor (arts. 68 1° parte a contrario sensu del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20322215232@notificaciones.scba.gov.ar</w:t>
      </w: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11/02/2021 09:20:01 -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11/02/2021 10:05:55 -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11/02/2021 10:14:15 -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11/02/2021 10:27:53 -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20322215232@notificaciones.scba.gov.ar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‰7E")è%((AiŠ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233702090005080833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3203"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4073 - 20 - ELECTRONICA MEGATONE S.A.  C/ DELGADO JULIO ALBERTO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‰7E")è%((AiŠ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233702090005080833</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