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16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83/97</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9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2032-14</w:t>
      </w:r>
      <w:r>
        <w:rPr>
          <w:lang w:val="es-AR" w:eastAsia="es-AR" w:bidi="es-AR"/>
        </w:rPr>
        <w:t xml:space="preserve"> caratulados </w:t>
      </w:r>
      <w:r>
        <w:rPr>
          <w:b/>
          <w:i/>
          <w:lang w:val="es-AR" w:eastAsia="es-AR" w:bidi="es-AR"/>
        </w:rPr>
        <w:t xml:space="preserve">"</w:t>
      </w:r>
      <w:r>
        <w:rPr>
          <w:b/>
          <w:i/>
          <w:color w:val="000000"/>
          <w:lang w:val="es-AR" w:eastAsia="es-AR" w:bidi="es-AR"/>
        </w:rPr>
        <w:t xml:space="preserve">DAUT, YANINA C/ BANCO MACRO S. A. S/ DAÑOS Y PERJUICIOS</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63856 </w:t>
      </w:r>
      <w:r>
        <w:rPr>
          <w:lang w:val="es-AR" w:eastAsia="es-AR" w:bidi="es-AR"/>
        </w:rPr>
        <w:t xml:space="preserve">del </w:t>
      </w:r>
      <w:r>
        <w:rPr>
          <w:color w:val="000000"/>
          <w:lang w:val="es-AR" w:eastAsia="es-AR" w:bidi="es-AR"/>
        </w:rPr>
        <w:t xml:space="preserve">Juzgado en lo Civil y Comercial N°2</w:t>
      </w:r>
      <w:r>
        <w:rPr>
          <w:lang w:val="es-AR" w:eastAsia="es-AR" w:bidi="es-AR"/>
        </w:rPr>
        <w:t xml:space="preserve">, encontrándose el Dr. Bernardo Louise excusado el 28 de julio de 2020, se ordenó la integración de este Tribunal y se practicó el sorteo de ley que determinó que la votación debía efectuarse en el siguiente orden: Roberto Manuel Degleue y Graciela Scaraffia, y estudiados los autos se resolvió plantear y votar las siguientes: </w:t>
      </w:r>
    </w:p>
    <w:p>
      <w:pPr>
        <w:pStyle w:val="[Normal]"/>
        <w:spacing w:line="360" w:lineRule="auto"/>
        <w:ind w:firstLine="1134"/>
        <w:jc w:val="both"/>
        <w:rPr>
          <w:color w:val="000000"/>
          <w:lang w:val="es-AR" w:eastAsia="es-AR" w:bidi="es-AR"/>
        </w:rPr>
      </w:pPr>
      <w:r>
        <w:rPr>
          <w:b/>
          <w:color w:val="000000"/>
          <w:u w:val="single"/>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La señora Jueza de la anterior sede falló en las presentes actuaciones haciendo lugar parcialmente a la demanda entablada por la Sra. Yanina M. Daut y Lucas Marmarusso, y en consecuencia condenó al  Banco Macro S.A. a abonar a la parte actora, dentro de los diez días de notificada la presente, la suma de Pesos seis millones ochenta y seis mil setecientos setenta (</w:t>
      </w:r>
      <w:r>
        <w:rPr>
          <w:b/>
          <w:color w:val="000000"/>
          <w:lang w:val="es-AR" w:eastAsia="es-AR" w:bidi="es-AR"/>
        </w:rPr>
        <w:t xml:space="preserve">$ 6.086.770.-), </w:t>
      </w:r>
      <w:r>
        <w:rPr>
          <w:color w:val="000000"/>
          <w:lang w:val="es-AR" w:eastAsia="es-AR" w:bidi="es-AR"/>
        </w:rPr>
        <w:t xml:space="preserve"> con más los intereses a la tasa pura, desde la fecha del hecho (23/07/2001) y a la tasa pasiva más alta del Banco de la Provincia de Buenos  Aires a los que se devenguen desde la firmeza de la presente hasta su efectivo pago. Impuso las costas al accionado y difirió la regulación de los honorarios de los letrados intervinientes.</w:t>
      </w:r>
    </w:p>
    <w:p>
      <w:pPr>
        <w:pStyle w:val="[Normal]"/>
        <w:spacing w:line="360" w:lineRule="auto"/>
        <w:ind w:firstLine="1134"/>
        <w:jc w:val="both"/>
        <w:rPr>
          <w:lang w:val="es-AR" w:eastAsia="es-AR" w:bidi="es-AR"/>
        </w:rPr>
      </w:pPr>
      <w:r>
        <w:rPr>
          <w:color w:val="000000"/>
          <w:lang w:val="es-AR" w:eastAsia="es-AR" w:bidi="es-AR"/>
        </w:rPr>
        <w:t xml:space="preserve">Apela la parte actora como así también el apoderado del Banco Macro S.A. y la apoderada del Banco Bisel S.A., mediante los recursos interpuestos el 26/05/2020, el 30/05/2020 y el 1/06/2020 respectivamente, siendo concedidos los mismos libremente.</w:t>
      </w:r>
    </w:p>
    <w:p>
      <w:pPr>
        <w:pStyle w:val="[Normal]"/>
        <w:spacing w:line="360" w:lineRule="auto"/>
        <w:ind w:firstLine="1134"/>
        <w:jc w:val="both"/>
        <w:rPr>
          <w:lang w:val="es-AR" w:eastAsia="es-AR" w:bidi="es-AR"/>
        </w:rPr>
      </w:pPr>
      <w:r>
        <w:rPr>
          <w:u w:val="single"/>
          <w:lang w:val="es-AR" w:eastAsia="es-AR" w:bidi="es-AR"/>
        </w:rPr>
        <w:t xml:space="preserve">Agravios de la parte actora </w:t>
      </w:r>
    </w:p>
    <w:p>
      <w:pPr>
        <w:pStyle w:val="[Normal]"/>
        <w:spacing w:line="360" w:lineRule="auto"/>
        <w:ind w:firstLine="1134"/>
        <w:jc w:val="both"/>
        <w:rPr>
          <w:lang w:val="es-AR" w:eastAsia="es-AR" w:bidi="es-AR"/>
        </w:rPr>
      </w:pPr>
      <w:r>
        <w:rPr>
          <w:lang w:val="es-AR" w:eastAsia="es-AR" w:bidi="es-AR"/>
        </w:rPr>
        <w:t xml:space="preserve">Se agravian primeramente por la contribución causal  parcial endilgada al causante de autos.</w:t>
      </w:r>
    </w:p>
    <w:p>
      <w:pPr>
        <w:pStyle w:val="[Normal]"/>
        <w:spacing w:line="360" w:lineRule="auto"/>
        <w:ind w:firstLine="1134"/>
        <w:jc w:val="both"/>
        <w:rPr>
          <w:lang w:val="es-AR" w:eastAsia="es-AR" w:bidi="es-AR"/>
        </w:rPr>
      </w:pPr>
      <w:r>
        <w:rPr>
          <w:lang w:val="es-AR" w:eastAsia="es-AR" w:bidi="es-AR"/>
        </w:rPr>
        <w:t xml:space="preserve">Manifiestan que ha quedado probado con la declaración del testigo Oscar Alberto Calderone quien estuvo trabajando con el causante en el lugar del hecho en el reemplazo de canaletas y colocación de membrana  haciendo ambos la misma tarea, tomando todas las medidas de seguridad necesarias dado que conocían el riesgo implícito en los trabajos de altura, desconociendo y sin advertencia alguna por parte del "banco" en relación al estado de las chapas de ese techo. Dicen que esta declaración testimonial no ha sido desvirtuada por prueba alguna de parte de la accionada y que no ha habido prueba que acredite aporte causal de Daniel Osvaldo Marmaruso en el hecho luctuoso, pero sí que ha quedado demostrado el daño ante el fallecimiento del nombrado, la relación causal como así también la legitimación activa y pasiva.</w:t>
      </w:r>
    </w:p>
    <w:p>
      <w:pPr>
        <w:pStyle w:val="[Normal]"/>
        <w:spacing w:line="360" w:lineRule="auto"/>
        <w:ind w:firstLine="1134"/>
        <w:jc w:val="both"/>
        <w:rPr>
          <w:lang w:val="es-AR" w:eastAsia="es-AR" w:bidi="es-AR"/>
        </w:rPr>
      </w:pPr>
      <w:r>
        <w:rPr>
          <w:lang w:val="es-AR" w:eastAsia="es-AR" w:bidi="es-AR"/>
        </w:rPr>
        <w:t xml:space="preserve">Solicitan se condene a la demandada a pagar la totalidad de la suma establecida en la sentencia primera debiendo dejarse sin efecto el porcentaje de responsabilidad atribuido a la víctima.</w:t>
      </w:r>
    </w:p>
    <w:p>
      <w:pPr>
        <w:pStyle w:val="[Normal]"/>
        <w:spacing w:line="360" w:lineRule="auto"/>
        <w:ind w:firstLine="1134"/>
        <w:jc w:val="both"/>
        <w:rPr>
          <w:lang w:val="es-AR" w:eastAsia="es-AR" w:bidi="es-AR"/>
        </w:rPr>
      </w:pPr>
      <w:r>
        <w:rPr>
          <w:lang w:val="es-AR" w:eastAsia="es-AR" w:bidi="es-AR"/>
        </w:rPr>
        <w:t xml:space="preserve">Respecto a la suma otorgada por daño moral consideran los apelantes que la Jueza de grado no ha merituado el agravio espiritual que han padecido por la muerte de quien fuera esposo y padre, respectivamente. Solicitan sea revisado el quantum indemnizatorio otorgado por daño moral y se eleve dicha suma.</w:t>
      </w:r>
    </w:p>
    <w:p>
      <w:pPr>
        <w:pStyle w:val="[Normal]"/>
        <w:spacing w:line="360" w:lineRule="auto"/>
        <w:ind w:firstLine="1134"/>
        <w:jc w:val="both"/>
        <w:rPr>
          <w:lang w:val="es-AR" w:eastAsia="es-AR" w:bidi="es-AR"/>
        </w:rPr>
      </w:pPr>
      <w:r>
        <w:rPr>
          <w:lang w:val="es-AR" w:eastAsia="es-AR" w:bidi="es-AR"/>
        </w:rPr>
        <w:t xml:space="preserve">Para finalizar se agravian del modo de computar el interés moratorio aplicable a los rubros indemnizatorios toda vez que la S.C.B.A. establece aplicar la tasa pura (6%) desde la fecha del hecho y la tasa pasiva más alta del Bco. de la Pcia. de Buenos Aires a los que se devenguen desde la firmeza de la presente hasta su efectivo pago. Citan fallos "Vera" y "Nidera". </w:t>
      </w:r>
    </w:p>
    <w:p>
      <w:pPr>
        <w:pStyle w:val="[Normal]"/>
        <w:spacing w:line="360" w:lineRule="auto"/>
        <w:ind w:firstLine="1134"/>
        <w:jc w:val="both"/>
        <w:rPr>
          <w:lang w:val="es-AR" w:eastAsia="es-AR" w:bidi="es-AR"/>
        </w:rPr>
      </w:pPr>
      <w:r>
        <w:rPr>
          <w:lang w:val="es-AR" w:eastAsia="es-AR" w:bidi="es-AR"/>
        </w:rPr>
        <w:t xml:space="preserve">Hacen reserva del Caso Federal y peticionan se modifique la sentencia anterior en la medida que se pide, con los alcances expuestos al expresar agravios, con costas a la contraria.</w:t>
      </w:r>
    </w:p>
    <w:p>
      <w:pPr>
        <w:pStyle w:val="[Normal]"/>
        <w:spacing w:line="360" w:lineRule="auto"/>
        <w:ind w:firstLine="1134"/>
        <w:jc w:val="both"/>
        <w:rPr>
          <w:lang w:val="es-AR" w:eastAsia="es-AR" w:bidi="es-AR"/>
        </w:rPr>
      </w:pPr>
      <w:r>
        <w:rPr>
          <w:u w:val="single"/>
          <w:lang w:val="es-AR" w:eastAsia="es-AR" w:bidi="es-AR"/>
        </w:rPr>
        <w:t xml:space="preserve">Agravios apoderada Bco. Bisel S.A.:</w:t>
      </w:r>
    </w:p>
    <w:p>
      <w:pPr>
        <w:pStyle w:val="[Normal]"/>
        <w:spacing w:line="360" w:lineRule="auto"/>
        <w:ind w:firstLine="1134"/>
        <w:jc w:val="both"/>
        <w:rPr>
          <w:lang w:val="es-AR" w:eastAsia="es-AR" w:bidi="es-AR"/>
        </w:rPr>
      </w:pPr>
      <w:r>
        <w:rPr>
          <w:lang w:val="es-AR" w:eastAsia="es-AR" w:bidi="es-AR"/>
        </w:rPr>
        <w:t xml:space="preserve">Manifiesta en principio que la sentencia resulta arbitraria por apartarse de los antecedentes fácticos del caso y de la prueba rendida, omitiendo el a quo considerar la situación concursal del Banco Bisel denunciada ante el Juzgado de Primera Instancia de Distrito de la Décima Nominación de Rosario, no resultando así un hecho controvertido en estos actuados. Efectúa un detalle del trámite concursal, y cita jurisprudencia y doctrina de aplicación. Dice también que los intereses deberán calcularse hasta la fecha de presentación en concurso (20/09/2002) y no hasta el efectivo pago.</w:t>
      </w:r>
    </w:p>
    <w:p>
      <w:pPr>
        <w:pStyle w:val="[Normal]"/>
        <w:spacing w:line="360" w:lineRule="auto"/>
        <w:ind w:firstLine="1134"/>
        <w:jc w:val="both"/>
        <w:rPr>
          <w:lang w:val="es-AR" w:eastAsia="es-AR" w:bidi="es-AR"/>
        </w:rPr>
      </w:pPr>
      <w:r>
        <w:rPr>
          <w:lang w:val="es-AR" w:eastAsia="es-AR" w:bidi="es-AR"/>
        </w:rPr>
        <w:t xml:space="preserve">Sostiene que se agravia su representada en cuanto la Jueza de grado concluyó en que existe en el caso "responsabilidad del causante" estimándola en un 50% en tanto que las constancias fácticas de autos acreditan que se configuró un hecho interruptivo del nexo causal excluyendo la responsabilidad de los demandados.</w:t>
      </w:r>
    </w:p>
    <w:p>
      <w:pPr>
        <w:pStyle w:val="[Normal]"/>
        <w:spacing w:line="360" w:lineRule="auto"/>
        <w:ind w:firstLine="1134"/>
        <w:jc w:val="both"/>
        <w:rPr>
          <w:lang w:val="es-AR" w:eastAsia="es-AR" w:bidi="es-AR"/>
        </w:rPr>
      </w:pPr>
      <w:r>
        <w:rPr>
          <w:lang w:val="es-AR" w:eastAsia="es-AR" w:bidi="es-AR"/>
        </w:rPr>
        <w:t xml:space="preserve">Cita jurisprudencia en apoyo a su postura.</w:t>
      </w:r>
    </w:p>
    <w:p>
      <w:pPr>
        <w:pStyle w:val="[Normal]"/>
        <w:spacing w:line="360" w:lineRule="auto"/>
        <w:ind w:firstLine="1134"/>
        <w:jc w:val="both"/>
        <w:rPr>
          <w:lang w:val="es-AR" w:eastAsia="es-AR" w:bidi="es-AR"/>
        </w:rPr>
      </w:pPr>
      <w:r>
        <w:rPr>
          <w:lang w:val="es-AR" w:eastAsia="es-AR" w:bidi="es-AR"/>
        </w:rPr>
        <w:t xml:space="preserve">Aduce también en cuanto a las pautas para determinar la procedencia y cuantificación de los rubros indemnizatorios, que resultan arbitrarias, indicando que la jueza de grado entendió aplicable en el caso el salario del empleado judicial categoría Jefe de Despacho como ingreso mensual del fallecido, siendo que no existe premisa ni prueba alguna que permita equiparar dicho haber con el de una persona que se dedica a tareas de reparación y construcción, ni tampoco prueba contundente de ingresos de la víctima. Dice que las mismas consideraciones deben seguirse respecto del monto concedido en concepto de daño moral dado que la actora no acreditó la cuantía del daño que alega, resultando éste exorbitante.</w:t>
      </w:r>
    </w:p>
    <w:p>
      <w:pPr>
        <w:pStyle w:val="[Normal]"/>
        <w:spacing w:line="360" w:lineRule="auto"/>
        <w:ind w:firstLine="1134"/>
        <w:jc w:val="both"/>
        <w:rPr>
          <w:lang w:val="es-AR" w:eastAsia="es-AR" w:bidi="es-AR"/>
        </w:rPr>
      </w:pPr>
      <w:r>
        <w:rPr>
          <w:lang w:val="es-AR" w:eastAsia="es-AR" w:bidi="es-AR"/>
        </w:rPr>
        <w:t xml:space="preserve">Peticiona la revocación del decisorio en lo que es materia de agravio, con costas a la accionante.</w:t>
      </w:r>
    </w:p>
    <w:p>
      <w:pPr>
        <w:pStyle w:val="[Normal]"/>
        <w:spacing w:line="360" w:lineRule="auto"/>
        <w:ind w:firstLine="1134"/>
        <w:jc w:val="both"/>
        <w:rPr>
          <w:lang w:val="es-AR" w:eastAsia="es-AR" w:bidi="es-AR"/>
        </w:rPr>
      </w:pPr>
      <w:r>
        <w:rPr>
          <w:lang w:val="es-AR" w:eastAsia="es-AR" w:bidi="es-AR"/>
        </w:rPr>
        <w:t xml:space="preserve">Hace reserva del Caso Federal.</w:t>
      </w:r>
    </w:p>
    <w:p>
      <w:pPr>
        <w:pStyle w:val="[Normal]"/>
        <w:spacing w:line="360" w:lineRule="auto"/>
        <w:ind w:firstLine="1134"/>
        <w:jc w:val="both"/>
        <w:rPr>
          <w:lang w:val="es-AR" w:eastAsia="es-AR" w:bidi="es-AR"/>
        </w:rPr>
      </w:pPr>
      <w:r>
        <w:rPr>
          <w:lang w:val="es-AR" w:eastAsia="es-AR" w:bidi="es-AR"/>
        </w:rPr>
        <w:t xml:space="preserve">En fecha 1/09/2020 se intima al apoderado del Banco Macro S.A. a dar cumplimiento a lo establecido en el Ac. 3975, haciéndolo el 7/09/2020, ordenándose el 15/09/2020 los traslados pertinentes a la actora como al co-demandado Bco. Bisel S.A.</w:t>
      </w:r>
    </w:p>
    <w:p>
      <w:pPr>
        <w:pStyle w:val="[Normal]"/>
        <w:spacing w:line="360" w:lineRule="auto"/>
        <w:ind w:firstLine="1134"/>
        <w:jc w:val="both"/>
        <w:rPr>
          <w:u w:val="single"/>
          <w:lang w:val="es-AR" w:eastAsia="es-AR" w:bidi="es-AR"/>
        </w:rPr>
      </w:pPr>
      <w:r>
        <w:rPr>
          <w:u w:val="single"/>
          <w:lang w:val="es-AR" w:eastAsia="es-AR" w:bidi="es-AR"/>
        </w:rPr>
        <w:t xml:space="preserve">Agravios apoderado Bco. Macro S.A.:</w:t>
      </w:r>
    </w:p>
    <w:p>
      <w:pPr>
        <w:pStyle w:val="[Normal]"/>
        <w:spacing w:line="360" w:lineRule="auto"/>
        <w:ind w:firstLine="1134"/>
        <w:jc w:val="both"/>
        <w:rPr>
          <w:lang w:val="es-AR" w:eastAsia="es-AR" w:bidi="es-AR"/>
        </w:rPr>
      </w:pPr>
      <w:r>
        <w:rPr>
          <w:lang w:val="es-AR" w:eastAsia="es-AR" w:bidi="es-AR"/>
        </w:rPr>
        <w:t xml:space="preserve">Sostiene que el a quo rechaza la falta de legitimación pasiva interpuesta por el Banco Macro haciéndolo civilmente responsable sin atender a las circunstancias fácticas y legales que enmarcan el siniestro padecido por el Sr. Marmarusso omitiendo así valorar todas y cada una de las circunstancias de hecho y expresos reconocimientos que las partes realizan en autos, quedando claro a través del relato de la misma actora que en cuanto a los hechos jamás hizo referencia al Banco Macro S.A. sino siempre lo hizo respecto del Banco Bisel S.A., ni cuando contesta demanda ni previo al contrato entre el Sr. Marmarusso y el Banco Bisel S.A., tampoco al momento de contratar, ni durante la ejecución del mismo ni al ocurrir el siniestro. Así su mandante negó por no constarle cada una de las afirmaciones emanadas de la parte actora como así mismo de la documentación que acompañara, por lo que considera no debe responder por valor vida alguno, dado que no fue titular registral ni tuvo la guarda del inmueble en cuestión al momento del fallecimiento. </w:t>
      </w:r>
    </w:p>
    <w:p>
      <w:pPr>
        <w:pStyle w:val="[Normal]"/>
        <w:spacing w:line="360" w:lineRule="auto"/>
        <w:ind w:firstLine="1134"/>
        <w:jc w:val="both"/>
        <w:rPr>
          <w:lang w:val="es-AR" w:eastAsia="es-AR" w:bidi="es-AR"/>
        </w:rPr>
      </w:pPr>
      <w:r>
        <w:rPr>
          <w:lang w:val="es-AR" w:eastAsia="es-AR" w:bidi="es-AR"/>
        </w:rPr>
        <w:t xml:space="preserve">Manifiesta que en relación a las circunstancias legales, parte de los activos y pasivos fueron adquiridos finalmente por el Nuevo Banco Bisel S.A. en el marco del art. 35 de la LEF. Dice que el Banco Macro solo es continuador  del Nuevo Banco Bisel S.A. Dice también  que el judex omite distinguir y valorar las diferencias entre "Fusión de una entidad Financiera" y una "Adquisición de Activos y Pasivos excluidos de una Entidad Financiera", reconociendo su mandante haberse fusionado con el Nuevo Banco Bisel S.A. pero no haber asumido supuestos créditos por el fallecimiento del esposo de la actora. Resulta entonces claro que tanto el Banco de la Nación Argentina como el Fideicomiso Bisel resultan ser personas jurídicas diferentes al Nuevo Banco Bisel S.A., como su mandante.</w:t>
      </w:r>
    </w:p>
    <w:p>
      <w:pPr>
        <w:pStyle w:val="[Normal]"/>
        <w:spacing w:line="360" w:lineRule="auto"/>
        <w:ind w:firstLine="1134"/>
        <w:jc w:val="both"/>
        <w:rPr>
          <w:lang w:val="es-AR" w:eastAsia="es-AR" w:bidi="es-AR"/>
        </w:rPr>
      </w:pPr>
      <w:r>
        <w:rPr>
          <w:lang w:val="es-AR" w:eastAsia="es-AR" w:bidi="es-AR"/>
        </w:rPr>
        <w:t xml:space="preserve">Sostiene que de las afirmaciones de las partes en autos como de la copiosa prueba producida por su parte no existe fundamento jurídico para que el Juez de grado sostenga que el Banco Bisel S.A. luego fue el Nuevo Banco Bisel S.A. incurriendo en contundente error que conlleva a un arbitrario y contrario a Derecho decisorio en crisis.</w:t>
      </w:r>
    </w:p>
    <w:p>
      <w:pPr>
        <w:pStyle w:val="[Normal]"/>
        <w:spacing w:line="360" w:lineRule="auto"/>
        <w:ind w:firstLine="1134"/>
        <w:jc w:val="both"/>
        <w:rPr>
          <w:lang w:val="es-AR" w:eastAsia="es-AR" w:bidi="es-AR"/>
        </w:rPr>
      </w:pPr>
      <w:r>
        <w:rPr>
          <w:lang w:val="es-AR" w:eastAsia="es-AR" w:bidi="es-AR"/>
        </w:rPr>
        <w:t xml:space="preserve">Dice que sorprende al omitir el a quo el informe preliminar de la perito contadora de fs. 254/267 del que surge que el 16/9/2002 se aprobó la cesión de derechos  y acciones litigiosas entre el Banco Bisel S.A., como Fiduciante y el Banco de la Nación Argentina como Fiduciario del Fideicomiso Financiero Bisel, y se agravia también dado que en ningún lado de las presentes actuaciones hay constancias de que por escritura ni prueba alguna el Banco Bisel S.A. haya sido absorbido por el Nuevo Banco Bisel S.A.</w:t>
      </w:r>
    </w:p>
    <w:p>
      <w:pPr>
        <w:pStyle w:val="[Normal]"/>
        <w:spacing w:line="360" w:lineRule="auto"/>
        <w:ind w:firstLine="1134"/>
        <w:jc w:val="both"/>
        <w:rPr>
          <w:lang w:val="es-AR" w:eastAsia="es-AR" w:bidi="es-AR"/>
        </w:rPr>
      </w:pPr>
      <w:r>
        <w:rPr>
          <w:lang w:val="es-AR" w:eastAsia="es-AR" w:bidi="es-AR"/>
        </w:rPr>
        <w:t xml:space="preserve">Manifiesta que el informe pericial psicológico tanto de la cónyuge como del hijo, si bien este padece TGD de Alto Rendimiento, es claro cuando sostiene que la muerte del Sr. Marmarusso no les ocasionó trastorno psíquico ni dejó secuelas que constituyan una enfermedad mental ni daño psíquico que guarde relación con los hechos de autos, por lo que mal puede haber Daño Moral, ni condenar a abonar la exorbitante suma impuesta en autos.</w:t>
      </w:r>
    </w:p>
    <w:p>
      <w:pPr>
        <w:pStyle w:val="[Normal]"/>
        <w:spacing w:line="360" w:lineRule="auto"/>
        <w:ind w:firstLine="1134"/>
        <w:jc w:val="both"/>
        <w:rPr>
          <w:lang w:val="es-AR" w:eastAsia="es-AR" w:bidi="es-AR"/>
        </w:rPr>
      </w:pPr>
      <w:r>
        <w:rPr>
          <w:lang w:val="es-AR" w:eastAsia="es-AR" w:bidi="es-AR"/>
        </w:rPr>
        <w:t xml:space="preserve">Seguidamente aduce que el sentenciante omite tratar la excepción de prescripción de la acción opuesta por el Banco Macro S.A. y que dadas las prueba rendidas y producidas en autos la única acción que la actora puede tener respecto del Banco Macro S.A. sería en todo caso de naturaleza extracontractual, dado que no hay constancias en autos de la relación contractual entre el Sr. Marmarusso y dicho Banco, y ésta se encontraría prescripta según lo establecido por la normativa vigente en ese momento Artículo 4037 </w:t>
      </w:r>
      <w:r>
        <w:rPr>
          <w:i/>
          <w:lang w:val="es-AR" w:eastAsia="es-AR" w:bidi="es-AR"/>
        </w:rPr>
        <w:t xml:space="preserve">"Prescríbese por dos años, la acción por responsabilidad civil extracontractual" </w:t>
      </w:r>
      <w:r>
        <w:rPr>
          <w:lang w:val="es-AR" w:eastAsia="es-AR" w:bidi="es-AR"/>
        </w:rPr>
        <w:t xml:space="preserve">Código Civil Vélez. Señala también que en autos el Nuevo Banco Bisel S.A. no contestó demanda sino que lo  hizo el Banco Macro S.A. como absolvente del mismo, es decir que en lo que hace a la técnica jurídica el Nuevo Banco Bisel no efectuó oposición alguna previa a la presentación realizada por su mandante. Persiste en afirmar que la acción de daños y perjuicios respecto del Banco Macro S.A. se encuentra claramente prescripta.</w:t>
      </w:r>
    </w:p>
    <w:p>
      <w:pPr>
        <w:pStyle w:val="[Normal]"/>
        <w:spacing w:line="360" w:lineRule="auto"/>
        <w:ind w:firstLine="1134"/>
        <w:jc w:val="both"/>
        <w:rPr>
          <w:lang w:val="es-AR" w:eastAsia="es-AR" w:bidi="es-AR"/>
        </w:rPr>
      </w:pPr>
      <w:r>
        <w:rPr>
          <w:lang w:val="es-AR" w:eastAsia="es-AR" w:bidi="es-AR"/>
        </w:rPr>
        <w:t xml:space="preserve">En su quinto agravio refiere al monto exorbitante de condena otorgado, fallando "ultra petita", por lo que considera lesivo de las garantías y derechos constitucionales. Para ello recuerda que la parte actora demandó $350.000 por Valor Vida y $200.000 por Daño Moral, otorgando el Judex en el decisorio en crisis por dichos rubros $700.000 (daño moral) y a su vez el Valor Vida lo cuantificó en $5.386.770. Solicita se disminuya el monto de condena.</w:t>
      </w:r>
    </w:p>
    <w:p>
      <w:pPr>
        <w:pStyle w:val="[Normal]"/>
        <w:spacing w:line="360" w:lineRule="auto"/>
        <w:ind w:firstLine="1134"/>
        <w:jc w:val="both"/>
        <w:rPr>
          <w:lang w:val="es-AR" w:eastAsia="es-AR" w:bidi="es-AR"/>
        </w:rPr>
      </w:pPr>
      <w:r>
        <w:rPr>
          <w:lang w:val="es-AR" w:eastAsia="es-AR" w:bidi="es-AR"/>
        </w:rPr>
        <w:t xml:space="preserve">En su sexto agravio manifiesta que el sentenciante de grado  fuerza la realidad fáctica, jurídica y probatoria, así en los argumentos esgrimidos para el rechazo de falta de legitimación pasiva y de prescripción de la acción extracontractual -que no desvirtúan el planteamiento efectuado por su parte-, omitió considerar el verdadero alcance de la aplicación del art 35 bis de la Ley de Entidades Financieras (ley 21.526) a fin de proteger dos bienes superiores a los intereses de los acreedores quirografarios: El orden público económico y a los Depositantes de las entidades en crisis.</w:t>
      </w:r>
    </w:p>
    <w:p>
      <w:pPr>
        <w:pStyle w:val="[Normal]"/>
        <w:spacing w:line="360" w:lineRule="auto"/>
        <w:ind w:firstLine="1134"/>
        <w:jc w:val="both"/>
        <w:rPr>
          <w:lang w:val="es-AR" w:eastAsia="es-AR" w:bidi="es-AR"/>
        </w:rPr>
      </w:pPr>
      <w:r>
        <w:rPr>
          <w:lang w:val="es-AR" w:eastAsia="es-AR" w:bidi="es-AR"/>
        </w:rPr>
        <w:t xml:space="preserve">Se duele de la falta de valoración de toda la prueba informativa aportada.</w:t>
      </w:r>
    </w:p>
    <w:p>
      <w:pPr>
        <w:pStyle w:val="[Normal]"/>
        <w:spacing w:line="360" w:lineRule="auto"/>
        <w:ind w:firstLine="1134"/>
        <w:jc w:val="both"/>
        <w:rPr>
          <w:lang w:val="es-AR" w:eastAsia="es-AR" w:bidi="es-AR"/>
        </w:rPr>
      </w:pPr>
      <w:r>
        <w:rPr>
          <w:lang w:val="es-AR" w:eastAsia="es-AR" w:bidi="es-AR"/>
        </w:rPr>
        <w:t xml:space="preserve">Respecto del séptimo agravio sostiene que resulta claro que con la conducta desplegada por el Sr. Marmarusso se produjo la ruptura del nexo de causalidad por lo que no puede responsabilizarse a su parte como tampoco a los restantes codemandados, desde la óptica de la responsabilidad objetiva en los términos del art. 1723 y ss del CCCN.</w:t>
      </w:r>
    </w:p>
    <w:p>
      <w:pPr>
        <w:pStyle w:val="[Normal]"/>
        <w:spacing w:line="360" w:lineRule="auto"/>
        <w:ind w:firstLine="1134"/>
        <w:jc w:val="both"/>
        <w:rPr>
          <w:lang w:val="es-AR" w:eastAsia="es-AR" w:bidi="es-AR"/>
        </w:rPr>
      </w:pPr>
      <w:r>
        <w:rPr>
          <w:lang w:val="es-AR" w:eastAsia="es-AR" w:bidi="es-AR"/>
        </w:rPr>
        <w:t xml:space="preserve">Señala que la conducta de la víctima al obrar de manera culposa ya que al momento del hecho dañoso circulaba con total imprudencia e impericia, omitiendo equiparse con elementos de protección y de seguridad para trabajo en altura, fue determinante en un 100% su accionar y no el 50% según dice el Judex, para que el evento dañoso tuviera lugar conforme quedó demostrado. Cita jurisprudencia en apoyo de su postura.</w:t>
      </w:r>
    </w:p>
    <w:p>
      <w:pPr>
        <w:pStyle w:val="[Normal]"/>
        <w:spacing w:line="360" w:lineRule="auto"/>
        <w:ind w:firstLine="1134"/>
        <w:jc w:val="both"/>
        <w:rPr>
          <w:lang w:val="es-AR" w:eastAsia="es-AR" w:bidi="es-AR"/>
        </w:rPr>
      </w:pPr>
      <w:r>
        <w:rPr>
          <w:lang w:val="es-AR" w:eastAsia="es-AR" w:bidi="es-AR"/>
        </w:rPr>
        <w:t xml:space="preserve">Otro de los agravios se centra en la responsabilidad civil a la que el sentenciante condena a su mandante sin siquiera haber podido la parte actora acreditar la verosimilitud de la existencia de un daño, siendo motivo suficiente para rechazar la presente demanda en su totalidad habiendo quedado probado en autos sin duda alguna la culpabilidad de la víctima.</w:t>
      </w:r>
    </w:p>
    <w:p>
      <w:pPr>
        <w:pStyle w:val="[Normal]"/>
        <w:spacing w:line="360" w:lineRule="auto"/>
        <w:ind w:firstLine="1134"/>
        <w:jc w:val="both"/>
        <w:rPr>
          <w:lang w:val="es-AR" w:eastAsia="es-AR" w:bidi="es-AR"/>
        </w:rPr>
      </w:pPr>
      <w:r>
        <w:rPr>
          <w:lang w:val="es-AR" w:eastAsia="es-AR" w:bidi="es-AR"/>
        </w:rPr>
        <w:t xml:space="preserve">Finalmente se queja pues el sentenciante tras sostener que el accionar del propio actor tuvo una injerencia de un 50% sobre el resultado disvalioso, determinó luego que el Banco Macro S.A. debe hacerse cargo del 100% de las costas. Solicita se rechace la demanda y se estime determinar que las costas sean "por su orden" o "en el orden causado" y se deje sin efecto la imposición total de las costas al Banco Macro S.A.</w:t>
      </w:r>
    </w:p>
    <w:p>
      <w:pPr>
        <w:pStyle w:val="[Normal]"/>
        <w:spacing w:line="360" w:lineRule="auto"/>
        <w:ind w:firstLine="1134"/>
        <w:jc w:val="both"/>
        <w:rPr>
          <w:lang w:val="es-AR" w:eastAsia="es-AR" w:bidi="es-AR"/>
        </w:rPr>
      </w:pPr>
      <w:r>
        <w:rPr>
          <w:lang w:val="es-AR" w:eastAsia="es-AR" w:bidi="es-AR"/>
        </w:rPr>
        <w:t xml:space="preserve">Mantiene el Caso Federal y peticiona se revoque totalmente la resolución apelada, rechazando completamente la demanda con costas a la actora.</w:t>
      </w:r>
    </w:p>
    <w:p>
      <w:pPr>
        <w:pStyle w:val="[Normal]"/>
        <w:spacing w:line="360" w:lineRule="auto"/>
        <w:ind w:firstLine="1134"/>
        <w:jc w:val="both"/>
        <w:rPr>
          <w:lang w:val="es-AR" w:eastAsia="es-AR" w:bidi="es-AR"/>
        </w:rPr>
      </w:pPr>
      <w:r>
        <w:rPr>
          <w:lang w:val="es-AR" w:eastAsia="es-AR" w:bidi="es-AR"/>
        </w:rPr>
        <w:t xml:space="preserve">Conferidos los traslados pertinentes de las expresiones de agravios formuladas por las partes, fueron contestadas primeramente por el apoderado del Banco Macro S.A. Dr. Guillermo Javier Hernández el 22/09/2020, seguidamente el 24/09/2020 por la apoderada del Banco Bisel S.A., Dra. Melisa Romero y por último mediante presentaciones electrónicas de fecha 28/09/2020, lo hizo la actora.</w:t>
      </w:r>
    </w:p>
    <w:p>
      <w:pPr>
        <w:pStyle w:val="[Normal]"/>
        <w:spacing w:line="360" w:lineRule="auto"/>
        <w:ind w:firstLine="1134"/>
        <w:jc w:val="both"/>
        <w:rPr>
          <w:lang w:val="es-AR" w:eastAsia="es-AR" w:bidi="es-AR"/>
        </w:rPr>
      </w:pPr>
      <w:r>
        <w:rPr>
          <w:lang w:val="es-AR" w:eastAsia="es-AR" w:bidi="es-AR"/>
        </w:rPr>
        <w:t xml:space="preserve">El apoderado del Banco Macro solicita que oportunamente, se rechacen los agravios de la parte actora como así mismo se revoque totalmente la resolución en crisis en los términos de la expresión de agravios de su mandante Banco Macro SA y se rechace completamente la demanda con costas a la parte actora.</w:t>
      </w:r>
    </w:p>
    <w:p>
      <w:pPr>
        <w:pStyle w:val="[Normal]"/>
        <w:spacing w:line="360" w:lineRule="auto"/>
        <w:ind w:firstLine="1134"/>
        <w:jc w:val="both"/>
        <w:rPr>
          <w:lang w:val="es-AR" w:eastAsia="es-AR" w:bidi="es-AR"/>
        </w:rPr>
      </w:pPr>
      <w:r>
        <w:rPr>
          <w:lang w:val="es-AR" w:eastAsia="es-AR" w:bidi="es-AR"/>
        </w:rPr>
        <w:t xml:space="preserve">Seguidamente la apoderada del Banco Bisel S.A., solicita se declare desierto el recurso por carecer de toda crítica concreta y razonada de la resolución recurrida.</w:t>
      </w:r>
    </w:p>
    <w:p>
      <w:pPr>
        <w:pStyle w:val="[Normal]"/>
        <w:spacing w:line="360" w:lineRule="auto"/>
        <w:ind w:firstLine="1134"/>
        <w:jc w:val="both"/>
        <w:rPr>
          <w:lang w:val="es-AR" w:eastAsia="es-AR" w:bidi="es-AR"/>
        </w:rPr>
      </w:pPr>
      <w:r>
        <w:rPr>
          <w:lang w:val="es-AR" w:eastAsia="es-AR" w:bidi="es-AR"/>
        </w:rPr>
        <w:t xml:space="preserve">Subsidiariamente pide se desestimen todos y cada uno de los agravios ensayados por la actora, con expresa imposición de costas a su cargo. </w:t>
      </w:r>
      <w:r>
        <w:rPr>
          <w:lang w:val="es-AR" w:eastAsia="es-AR" w:bidi="es-AR"/>
        </w:rPr>
        <w:t xml:space="preserve">Mantiene el planteo del Caso Federal.</w:t>
      </w:r>
    </w:p>
    <w:p>
      <w:pPr>
        <w:pStyle w:val="[Normal]"/>
        <w:spacing w:line="360" w:lineRule="auto"/>
        <w:ind w:firstLine="1134"/>
        <w:jc w:val="both"/>
        <w:rPr>
          <w:lang w:val="es-AR" w:eastAsia="es-AR" w:bidi="es-AR"/>
        </w:rPr>
      </w:pPr>
      <w:r>
        <w:rPr>
          <w:lang w:val="es-AR" w:eastAsia="es-AR" w:bidi="es-AR"/>
        </w:rPr>
        <w:t xml:space="preserve">La parte actora rechaza las críticas y sostiene la existencia del daño moral</w:t>
      </w:r>
      <w:r>
        <w:rPr>
          <w:lang w:val="es-AR" w:eastAsia="es-AR" w:bidi="es-AR"/>
        </w:rPr>
        <w:t xml:space="preserve"> reconocido en sentencia, y dado que no media crítica razonada insta a que se declare desierto el recurso de apelación interpuesto. Solicita se rechacen los recursos deducidos por el Banco Macro S.A. y por Banco Bisel, con costas.</w:t>
      </w:r>
    </w:p>
    <w:p>
      <w:pPr>
        <w:pStyle w:val="[Normal]"/>
        <w:spacing w:line="360" w:lineRule="auto"/>
        <w:ind w:firstLine="1134"/>
        <w:jc w:val="both"/>
        <w:rPr>
          <w:lang w:val="es-AR" w:eastAsia="es-AR" w:bidi="es-AR"/>
        </w:rPr>
      </w:pPr>
      <w:r>
        <w:rPr>
          <w:lang w:val="es-AR" w:eastAsia="es-AR" w:bidi="es-AR"/>
        </w:rPr>
        <w:t xml:space="preserve">Culminada la sustanciación de los recursos traídos, con fecha 1/10/2020 se dicta llamamiento de autos, encontrándose la causa en condiciones de ser fallada.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Ya en tarea, he de principiar por la queja ensayada por la apoderada del Banco Bisel S.A y al respecto he de señalar que dicha entidad no ha sido condenada en autos, por lo que y no expresando el motivo de sus agravios, que transitan sobre la sanción impuesta en primera instancia, por el principio general de que sin interés no hay acción, la apelación deducida debe ser rechazada de plano (Art. 242 y ccs. del C.P.C. y C.).</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Tiene dicho el Superior Tribunal provincial que</w:t>
      </w:r>
      <w:r>
        <w:rPr>
          <w:i/>
          <w:lang w:val="es-AR" w:eastAsia="es-AR" w:bidi="es-AR"/>
        </w:rPr>
        <w:t xml:space="preserve"> "Sobre un agravio hipotético o eventual no puede edificarse ningún recurso (arg.art.242 C.P.C.)." </w:t>
      </w:r>
      <w:r>
        <w:rPr>
          <w:lang w:val="es-AR" w:eastAsia="es-AR" w:bidi="es-AR"/>
        </w:rPr>
        <w:t xml:space="preserve">( Ac 41002 del 20-6-1989), habiendo resuelto esta Cámara que no resulta admisible la apelación fundada en el gravamen eventual, ya que el perjuicio debe ser cierto y concreto respecto de quien recurre (confr. causa N°2037 RSI 30/2014 ent. ots.).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Continuando por la queja del apoderado del Banco Macro S.A. , he de referir que la relativa a que la defensa de "prescripción" no ha sido objeto de tratamiento en sentencia, tal circunstancia obedece a que la misma ya fue tratada en anteriores resoluciones disponiéndose el rechazo de la misma y ello  según sentencia del 29/08/2016 (Fs. 709/711) y la confirmatoria de esta Alzada del 11/04/2017 (Fs.720/728)  ), por lo que debe estarse a lo allí decidido.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Pasando, ya estrictamente a los agravios restantes, acerca de la no recepción de la defensa de falta de legitimación oportunamente opuesta por su parte y luego de leer con detenimiento su expresión de agravios, no puedo mas que coincidir con la actora, en cuanto a que resulta muy confuso y enmarañado su razonamiento, y que se apoya en situaciones que han sido superadas en el proceso, incluso en decisiones anteriores de este Tribunal, como ser la repetición de cuestiones que planteara precisamente en su anterior expresión de agravios, contra la sentencia de primera instancia (escrito electrónico de Fecha del Escrito: 23/09/2016), que fuera confirmada por esta Alzada.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por ello que he de dar tratamiento al planteo expreso de la parte actora en su contestación de la mentada expresión de agravios de la codemandada Banco Macro S.A., en cuanto solicita se declare desierto el recurso traído, conforme arts. 260 y 261 del CPCC y su doctrina, examinando asimismo si el decisorio en crisis se ajusta a derecho.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Soy de opinión que la queja del codemandado, en este punto sobre la legitimación, no reúne los requisitos previstos por la normativa citada, en cuanto todo planteo revisor debe contener un análisis razonado de la materia impugnada, aportando la demostración de lo que se reputa erróneo, injusto o contrario a derecho, debiendo agotarse en la segunda instancia la carga técnica de comunicar a la Alzada cuales son los motivos concretos del agravio sin que puedan ser suficientes las meras discrepancias subjetivas con el criterio expuesto por el juzgador. (Cfr. Morello, Códigos Procesales, T. III pág 204).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i/>
          <w:lang w:val="es-AR" w:eastAsia="es-AR" w:bidi="es-AR"/>
        </w:rPr>
        <w:t xml:space="preserve">"Cuando las manifestaciones que trae la parte recurrente en su escrito de expresión de agravios no pasan de ser meras disconformidades basadas en argumentaciones reiteratorias de las anteriores, ellas no reúnen los requisitos exigidos por los arts. 260 y 261 del digesto ritual; esto es, no constituyen una articulación seria, fundada, concreta y objetiva de los errores de la sentencia..." </w:t>
      </w:r>
      <w:r>
        <w:rPr>
          <w:lang w:val="es-AR" w:eastAsia="es-AR" w:bidi="es-AR"/>
        </w:rPr>
        <w:t xml:space="preserve">(CC0203 LP 108361 RSD-30-14 S 25/03/2014).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Ciertamente el escrito del apelante se ciñe a reiterar los fundamentos expuestos al expresar agravios  contra la sentencia de primera instancia que rechazara la mencionada defensa y a la que he hecho referencia anteriormente, esto es mediante escrito electrónico del 23/09/2016, pronunciamiento confirmado por esta Alzada con voto del suscripto, en fecha 11 de Abril de 2017.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que luego de ponderar los antecedentes que se traen a la causa es que soy de opinión que no lleva razón el apelante y que para así decidir bastaría con reeditar los fundamentos de la sentencia atacada.  Y en tal sentido, resulta atinado el razonamiento de la sentenciante primera y el agravio no lo conmueve.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La Jueza anterior, el respecto dijo: "</w:t>
      </w:r>
      <w:r>
        <w:rPr>
          <w:i/>
          <w:lang w:val="es-AR" w:eastAsia="es-AR" w:bidi="es-AR"/>
        </w:rPr>
        <w:t xml:space="preserve">Cabe entonces nuevamente rever aquí y ahora, la excepción a la luz de a prueba producida por el excepcionante al efecto</w:t>
      </w:r>
      <w:r>
        <w:rPr>
          <w:i/>
          <w:u w:val="single"/>
          <w:lang w:val="es-AR" w:eastAsia="es-AR" w:bidi="es-AR"/>
        </w:rPr>
        <w:t xml:space="preserve">, esto es la informativa de fs. 760, 775 / 776, la producida también a fs. 563. Entonces así una nueva revisión de la cuestión, conforme estos nuevos elementos, adelanto que no conmueven lo dicho en aquella primera resolución al efecto, la que doy aquí por reproducida por razones de economía procesal</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Si bien es cierto que debe prevalecer un criterio amplio en la apreciación de los requisitos que debe cumplir la expresión de agravios, conforme  el aseguramiento de la defensa en juicio previsto en el art. 18 de la Constitución Nacional, entiendo que en la especie es  improcedente  abrir  la función revisora teniendo en cuenta que esta porción del memorial no alcanza las pautas mínimas antes enunciadas, desprendiéndose de su sola lectura que no se abastece la carga procesal de alcanzar cierto nivel crítico que permita su tratamiento, mostrándose  inidóneos ya que no se ataca en forma concreta y frontal los verdaderos fundamentos del fallo apelado.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De las consideraciones expuestas se sigue que el ataque recursivo no reúne los requisitos de eficacia técnica exigidos en esta instancia, y mediando pedido de la contraria en su presentación de fs. 554/559, ha de declararse desierto el recurso interpuesto por los demandados (arts. 260, 261 del CPCC y su doctrina).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Pasando al tema de la responsabilidad, aspecto que viene cuestionado por ambos apelantes, he de partir en el hecho que entre las partes lo que ha existido es simplemente una locación de obra, tal como lo señalara la jueza de la anterior instancia</w:t>
      </w:r>
      <w:r>
        <w:rPr>
          <w:i/>
          <w:lang w:val="es-AR" w:eastAsia="es-AR" w:bidi="es-AR"/>
        </w:rPr>
        <w:t xml:space="preserve"> "... un típico contrato de locación de obra (art. 1623 C.C. ...) por el cual el comitente se obligaba a pagar un precio, por los trabajos encomendados".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Pero en lo que no concuerdo es en la naturaleza de la responsabilidad, la que entiendo queda subsumida en la responsabilidad contractual, y no en la extracontractual como lo calificara la jueza, ya que el accidente que ocasionara la muerte del Sr. Marmaruso, fue precisamente por las tareas que el mismo se había obligado a realizar en el techo de la entidad bancaria.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que, tal accidente </w:t>
      </w:r>
      <w:r>
        <w:rPr>
          <w:i/>
          <w:lang w:val="es-AR" w:eastAsia="es-AR" w:bidi="es-AR"/>
        </w:rPr>
        <w:t xml:space="preserve">"...no resulta ajeno al contrato de locación de obra que vinculaba a las partes, toda vez que precisamente ocurrió con motivo del contrato, durante su propia y misma ejecución, interviniendo en el siniestro únicamente el reclamante con su hermano ayudante en su condición de locador de la obra contratada, -consistente en la puesta en funcionamiento del montacargas mediante la reparación del sistema eléctrico del tablero de comando existente en el comercio de los demandados-, resultando obvio que tal elemento por su naturaleza estaba precisamente destinado a regular adecuadamente y en forma segura el desplazamiento del montacargas en sus maniobras de arranque, ascenso, parada y descenso, dispuesto y programado desde el indicado tablero, lo cual evidentemente no ocurrió pues se desplomó. No cabe duda tampoco, que el actor y no los accionados tenía la guarda del montacargas, pues ello como normalmente ocurre en este tipo de tareas, configuraba una circunstancia necesaria e imprescindible para poder cumplir la obra contratada, la cual tenía por objeto o finalidad que el ascensor fuera reparado y entregado a los locatarios funcionando adecuada y correctamente, resultando ello, -pese a que así no ocurriera-, una obligación emergente del propio contrato de locación celebrado; o sea de concreta naturaleza contractual insatisfecha toda vez que el montacargas se desplomó aunque su correcto funcionamiento era el objeto mismo de la convención acordada. Siendo así, no corresponde resolver el presente conforme a las pautas de la vía extracontractual sino de la contractual, careciendo entonces de sentido determinar si el hecho dañoso se produjo por el riesgo o vicio de la cosa en los términos del art. 1113 del Código Civil."</w:t>
      </w:r>
      <w:r>
        <w:rPr>
          <w:lang w:val="es-AR" w:eastAsia="es-AR" w:bidi="es-AR"/>
        </w:rPr>
        <w:t xml:space="preserve"> (confr.CC0001 QL 10806 RSD-3-12 S 06/02/2012 - Carátula: Zeytuntsian, José Luis c/Bossi, Juan Luis y ot s/Daños y perjuicios).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Precisamente la entidad bancaria, como lo haría cualquier persona física o jurídica, deriva los trabajos a realizar en un aspecto sobre el que no tiene conocimiento, como es en este caso  trabajos de reparaciones varias en los techos del edificio, como bien se marcara en los presupuestos  que la parte demandada presentara en autos, en donde claramente las tareas presupuestadas se realizarían en ese sector del inmueble A saber en el mismo, el Sr. Marmarusso consignó: </w:t>
      </w:r>
      <w:r>
        <w:rPr>
          <w:i/>
          <w:lang w:val="es-AR" w:eastAsia="es-AR" w:bidi="es-AR"/>
        </w:rPr>
        <w:t xml:space="preserve">"Azotea frente: ... colocar membrana en toda la superficie ... extraer un sector de membrana para suplementar y dar pendiente - Picar medianera, hacer ceresita y grueso fratachado ... Colocación de membrana en todo este nivel con babetas de 30 cm aproximadamente y cubrir toda la baranda de mampostería que da hacia el frente ..."</w:t>
      </w:r>
      <w:r>
        <w:rPr>
          <w:lang w:val="es-AR" w:eastAsia="es-AR" w:bidi="es-AR"/>
        </w:rPr>
        <w:t xml:space="preserve"> (Fs. 506).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Y, concretamente sobre la cochera, lugar desde donde el Sr. Marmarusso se cayera, el presupuesto también contemplaba tareas de mantenimiento sobre el techo de la misma, a saber: </w:t>
      </w:r>
      <w:r>
        <w:rPr>
          <w:i/>
          <w:lang w:val="es-AR" w:eastAsia="es-AR" w:bidi="es-AR"/>
        </w:rPr>
        <w:t xml:space="preserve">"Cocheras: Construcción de un techo  . con estructura de caño ... y chapas cal. 24 aluminizadas con canaletas de desagües  y bajadas ..."</w:t>
      </w:r>
      <w:r>
        <w:rPr>
          <w:lang w:val="es-AR" w:eastAsia="es-AR" w:bidi="es-AR"/>
        </w:rPr>
        <w:t xml:space="preserve"> (Fs. 510).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La solicitud de seguro por " Accidentes personales en ocasión del trabajo" (Fs. 510/512),  da cuenta de que el Sr. Marmarusso, precisamente lo hizo para prevenir el riesgo concreto de las tareas a realizar en el Banco Bisel  S.A., en "altura" y "reparaciones en general (techos - albañilería etc), siendo el "personal a asegurar" el Sr. Jorge Ignacio Barrios, lo que da cuenta que al contratar con el Banco para la realización de tareas de reparaciones y mantenimiento, lo hizo en su calidad de constructor.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Dichos documentos corresponde meritarlos, pese a que fueran desconocidos por la actora, siendo que tal actitud no se condice con lo que surge de las copias de las actuaciones penales realizadas como consecuencia del luctuoso accidente y que fueran acompañadas por la propia accionante. Como asimismo la declaración del Sr. Daniel Raúl D'andrea, contador de la entidad bancaria, quien reconoce que </w:t>
      </w:r>
      <w:r>
        <w:rPr>
          <w:i/>
          <w:lang w:val="es-AR" w:eastAsia="es-AR" w:bidi="es-AR"/>
        </w:rPr>
        <w:t xml:space="preserve">"... el Sr. Marmaruso fue contratado por el Departamento de Servicios Generales de la Casa Matriz del Banco Bisel ... para que efectúe reparaciones de techo y desague de la cochera del lugar ..." </w:t>
      </w:r>
      <w:r>
        <w:rPr>
          <w:lang w:val="es-AR" w:eastAsia="es-AR" w:bidi="es-AR"/>
        </w:rPr>
        <w:t xml:space="preserve">(fs. 15/16).-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mas, en la contestación del oficio librado a la Administración Federal de Ingresos Públicos, esta informa que :" 1-... DANIEL OSVALDO MARMARUSSO se encontraba inscripto hasta el 07/2001 donde falleció el mismo ... 3.- Ejercía como Autónomo " (Fs. 794).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asi que tal desconocimiento no se condice con su propia actuación previa, en tanto que esa conducta resulta contraria a sus propios actos, proceder que encuentra un límite infranqueable en el principio de buena fe, a partir del cual se funda la doctrina de los actos propios cuya lógica determina que: </w:t>
      </w:r>
      <w:r>
        <w:rPr>
          <w:i/>
          <w:lang w:val="es-AR" w:eastAsia="es-AR" w:bidi="es-AR"/>
        </w:rPr>
        <w:t xml:space="preserve">"Nadie puede ponerse en contradicción con sus propios actos, ejerciendo una conducta incompatible con una anterior deliberada, jurídicamente relevante y plenamente eficaz" </w:t>
      </w:r>
      <w:r>
        <w:rPr>
          <w:lang w:val="es-AR" w:eastAsia="es-AR" w:bidi="es-AR"/>
        </w:rPr>
        <w:t xml:space="preserve">(v. SCBA, "Carpinetti, Raúl Jorge c/Fisco de la Prov. de Buenos Aires s/Daños y perjuicios", 17/06/1993). La consecuencia sistémica que deriva de ello es la desestimación del motivo de queja esgrimido en violación al mentado principio (conf. CAP causas Nº 1962. RSD 84/2013 del 26-8-14, Nº 1426 RSD 181/2012 del 14/8-2014, N° 2959 del 20-12-2018 RSD 199/2018, entre otras).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relación a la responsabilidad, ha sido clara la jueza al afirmar que </w:t>
      </w:r>
      <w:r>
        <w:rPr>
          <w:i/>
          <w:lang w:val="es-AR" w:eastAsia="es-AR" w:bidi="es-AR"/>
        </w:rPr>
        <w:t xml:space="preserve">"... en nuestro caso, cierto es que hay responsabilidad del causante, quien al presupuestar la tarea, tomó conocimiento de los trabajos que en altura debía realizar y sus riesgos, los que debería conocer por su calidad de constructor (art. 902 C.C.) ..."</w:t>
      </w:r>
      <w:r>
        <w:rPr>
          <w:lang w:val="es-AR" w:eastAsia="es-AR" w:bidi="es-AR"/>
        </w:rPr>
        <w:t xml:space="preserve">, por lo cual le atribuye un aporte causal del 50%.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Creo que ello resulta ajustado a la situación, en tanto que precisamente como ya lo señalé, el comitente (en este caso la entidad bancaria) encarga las tareas de reparación en una persona cuya actividad es la de "constructor", y en tal calidad es que el estudio previo sobre la seguridad para la realización de las tareas recae fundamentalmente en ese sujeto, el que como lo señalara la jueza debía conocer los riesgos del trabajo, y en base a ello tomar las precauciones del caso.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Sin embargo, también resulta muy esclarecedor el informe que se solicitara al Colegio de Arquitectos de la Provincia de Buenos Aires, en uso de las facultades instructorias, que en lo que interesa ha señalado que: "...</w:t>
      </w:r>
      <w:r>
        <w:rPr>
          <w:i/>
          <w:lang w:val="es-AR" w:eastAsia="es-AR" w:bidi="es-AR"/>
        </w:rPr>
        <w:t xml:space="preserve">no cabe duda al ente de la colegiación acerca de que la actuación que se nos exhibe en la documental acompañada se compadece con la de un empresario constructor independiente...Conclusión que se ve reforzada pues además del precio, la oferta de contrato incluye  la provisión de materiales</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Asimismo, que "... </w:t>
      </w:r>
      <w:r>
        <w:rPr>
          <w:i/>
          <w:lang w:val="es-AR" w:eastAsia="es-AR" w:bidi="es-AR"/>
        </w:rPr>
        <w:t xml:space="preserve">las medidas de seguridad mas importantes  en cualquier proceso constructivo son aquellas que surgen del </w:t>
      </w:r>
      <w:r>
        <w:rPr>
          <w:i/>
          <w:u w:val="single"/>
          <w:lang w:val="es-AR" w:eastAsia="es-AR" w:bidi="es-AR"/>
        </w:rPr>
        <w:t xml:space="preserve">Dcto.</w:t>
      </w:r>
      <w:r>
        <w:rPr>
          <w:i/>
          <w:lang w:val="es-AR" w:eastAsia="es-AR" w:bidi="es-AR"/>
        </w:rPr>
        <w:t xml:space="preserve"> PEN 911/96 y Resoluciones SRT complementarias ... Es que si bien su objeto es proteger al trabajador  y no al constructor, las mismas son tan estrictas , que por su conducto  se protege a todos los agentes del proceso constructivo, pero también a linderos y otros terceros... Lo antedicho es sin contar que con frecuencia se verifica que los pequeños empresarios actúan simultáneamente  como obreros de su propia empresa.  Es decir , trabajan con sus propias manos en la obra , ejerciendo un doble rol en el proceso constructivo ( o sea que existen encuadres fácticos en los que, al adoptar tales medidas , el constructor se protege a si mismo - siempre que él se comporte como un obrero más, y no se limite a arriesgar  capitales con miras a obtener un beneficio -). Expuesto ello, y penetrando en el reglamento aludido , se advierte que el mismo se aplica a cualquier obra nueva o demolición de una existente, sin excepciones (art. 2 del anexo, Dcto. PEN 911/96). Y que, entre tantas medidas de seguridad  que el mismo dispone implementar, pueden listarse las siguientes : a) protección contra  la caída de objetos  y materiales, y de personas (arts.  50, 52 y sgtes. del anexo ...</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Y, continúa el relato destacando a mi punto de ver lo definitorio de la situación traída a juzgamiento, que "</w:t>
      </w:r>
      <w:r>
        <w:rPr>
          <w:i/>
          <w:lang w:val="es-AR" w:eastAsia="es-AR" w:bidi="es-AR"/>
        </w:rPr>
        <w:t xml:space="preserve">el comitente y el constructor responden solidariamente por el incumplimiento de las medidas regladas en el </w:t>
      </w:r>
      <w:r>
        <w:rPr>
          <w:i/>
          <w:u w:val="single"/>
          <w:lang w:val="es-AR" w:eastAsia="es-AR" w:bidi="es-AR"/>
        </w:rPr>
        <w:t xml:space="preserve">Dcto</w:t>
      </w:r>
      <w:r>
        <w:rPr>
          <w:i/>
          <w:lang w:val="es-AR" w:eastAsia="es-AR" w:bidi="es-AR"/>
        </w:rPr>
        <w:t xml:space="preserve">. PEN 911/96 y resoluciones complementarias de la Superintendencia del Trabajo de  la Nación  (art. 2 del Decto cit. y art. 4 de su Anexo). El comitente se encuentra, además, obligado a exigir por escrito al constructor el cumplimiento de las disposiciones de la Ley 24.557. Lo cual, sabido es, no es posible sin contar con el plan de salud y seguridad en la construcción, ya que sin él, ninguna ART otorga el pertinente seguro. De donde indirectamente, si el comitente omite exigir al constructor tal cumplimiento, contribuye a agravar las condiciones de seguridad del proceso constructivo</w:t>
      </w:r>
      <w:r>
        <w:rPr>
          <w:lang w:val="es-AR" w:eastAsia="es-AR" w:bidi="es-AR"/>
        </w:rPr>
        <w:t xml:space="preserve"> (art. 5 del anexo, Dcto. PEN 911/96).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decir que no estamos ante una simple contratación, sino que en este caso se da la situación que el comitente resulta ser una entidad bancaria, donde intervino en la negociación previa un departamento de arquitectura que al efecto tiene el banco, por lo que estaba en iguales condiciones que el Sr. Marmarusso para también exigir de su parte las medidas de seguridad necesarias en las tareas objeto de la locación, dado que se presupone que tiene el conocimiento técnico necesario, de la misma forma que la tiene el locador, por lo que la distribución causal efectuada en la anterior instancia resulta prudente y adecuada a la situación concreta que aquí se trajo a dirimir.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Pasando a los montos indemnizatorios, aspecto sobre el que ambos apelantes se disgustan, los he de tratar en forma separada para cada uno de ellos, y en orden a las personas beneficiarias de los mismos, a saber: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 Indemnización por muerte: En este caso la agraviada Banco Macro S.A., a través de su representante, lo que en definitiva cuestiona es que el a quo falló en forma "extra petita", considerando que se otorgó mucho más de lo que se pidiera en demanda.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No le asiste razón, ya se ha expedido en forma reiterada no solo esta Alzada, sino también nuestro Máximo Tribunal provincial, en cuanto a la necesidad de la fijación de valores indemnizatorios actualizados a la fecha de la sentencia, y precisamente eso es lo que se ha efectuado en autos.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w:t>
      </w:r>
      <w:r>
        <w:rPr>
          <w:i/>
          <w:lang w:val="es-AR" w:eastAsia="es-AR" w:bidi="es-AR"/>
        </w:rPr>
        <w:t xml:space="preserve">Sobre el punto la alzada destacó que la suma otorgada había sido "... calculada en base al salario percibido ($ 430) y sin exceder la edad estimativa hasta la cual la actora podría continuar en el cuidado de personas..." (fs. 480 vta./481).   Sin embargo, la aplicación de tal fórmula en el caso concreto conduce a resultados inconciliables con la equidad y con el principio de realidad. Vale remarcar que a los efectos de cuantificar esta partida, el fallo ponderó el salario percibido por la accionante en el año 2001 (esto es, a la fecha de interposición de la demanda). Al respecto cabe destacar que a los fines de establecer el importe de la indemnización de que se trate, López Mesa y Trigo Represas han señalado que no es posible desatender los datos que proporciona la realidad económica involucrada en el asunto patrimonial en juego y, en este sentido, la teoría general de la cuantificación del daño enseña que éste debe ser evaluado lo más tarde posible e, idealmente, el mismo día del pago, pero como esto último es imposible en la práctica, ello debe plasmarse en la sentencia de fondo, aunque teniendo en cuenta tanto las variaciones intrínsecas del perjuicio, que se producen entre la fecha de éste y la de su juzgamiento, como las variaciones extrínsecas, que son las atinentes a las del valor del mercado, lo que significa que no cabe indemnizar el valor de un bien correspondiente al pasado cuando ese valor al momento de la sentencia es o puede ser radicalmente diferente a aquél (conf. "Tratado de la responsabilidad civil. Cuantificación del daño", ed. LL Bs. As., 2006, p. 36).  En similar senda, este Tribunal ha precisado que en los juicios de daños y perjuicios los jueces se hallan facultados para fijar el quantum indemnizatorio al momento de dictar sentencia (conf. arg. causas L. 77.503 y L. 75.346, ambas sents. del 6-VI-2001; C. 101.107, sent. del 23-III-2010; C. 100.908, sent. del 14-VII-2010).  </w:t>
      </w:r>
      <w:r>
        <w:rPr>
          <w:lang w:val="es-AR" w:eastAsia="es-AR" w:bidi="es-AR"/>
        </w:rPr>
        <w:t xml:space="preserve"> " (SCBA, C 108654 Fecha: 26/10/2016 - Caratula: Moran, Paula Aurora contra Empresa de Transportes Martín Güemes S.A. y otro. Daños y perjuicios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lo que respecta al modo de cuantificar el rubro, la Suprema Corte explicó que en nuestro derecho rige desde hace muchos años la distinción entre deudas de dinero y deudas de valor, categoría esta última que fue regulada expresamente en el art. 772 del Cód. Civ. y Com. La idea de que la cuantificación de un valor deba referir al "valor real al momento que corresponda tomar en cuenta para la evaluación de la deuda" (art. cit.) implica la adopción del criterio del realismo económico, sobre el cual existe una amplia línea jurisprudencial de la Corte Suprema de la Nación (causas "Melgarejo" -Fallos 316:1972-, "Segovia" -Fallos 317:836-, entre otras).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el caso particular de autos, debe tenerse en cuenta que la demanda fue iniciada en el año 2002 por lo que la afirmación del apelante,  de que el juez falló en más de lo pedido es un razonamiento alejado de la realidad, eso porque es público y notorio que la economía de nuestro país, en los casi 20 años que durara este proceso, ha mutado permanentemente, por lo que mal podría alcanzarse el parámetro de reparación integral y plena, si se fallase tal como lo pretende el quejoso.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He tenido oportunidad de expedirme en este tema, particularmente en cuanto a que: "</w:t>
      </w:r>
      <w:r>
        <w:rPr>
          <w:i/>
          <w:lang w:val="es-AR" w:eastAsia="es-AR" w:bidi="es-AR"/>
        </w:rPr>
        <w:t xml:space="preserve">Desde una perspectiva jurídica global, la jurisprudencia más reciente de nuestros tribunales provinciales y nacionales ha dado diáfanas muestras de la necesidad de resguardar el contenido económico de las deudas de valor, máxime en épocas de gran inflación. Esta tendencia no ha sido patrimonio exclusivo de una rama jurídica determinada, sino que se ha proyectado transversalmente en todo el ordenamiento jurídico. Incluso este Tribunal, en la causa caratulada: "CONTINO, ADELA S/SUCESION AB-INTESTATO", autos N° 2750-16, del 4 de Octubre de 2018, estableció como fecha de cómputo del valor del bien colacionable en una acción de colación aquella correspondiente al momento más próximo a la sentencia. Por su parte, en las recientes sentencias dictadas en C. 121.134, “Nidera S.A.” y C. 120.536, “Vera” (ambas del 3/08/18), el Máximo Tribunal Provincial ha reconocido el fenómeno inflacionario y la vigencia de distintas leyes (nacionales y provinciales), decretos y resoluciones que, de una u otra manera, prevén mecanismos de actualización. Así, ha ejemplificado el Dr. Soria en su voto (que con contó con la adhesión de la mayoría del tribunal) con diversos supuestos de capitales expresados en monedas fuertes o ajustables por índices, tal como títulos públicos: bono “dólar-link” (decreto 164/13), bono de la Provincia de Buenos Aires (resol. ministerial 54/09), bonos nacionales en dólares o con cláusula CER, o depósitos a plazo fijo UVI (ley 27.271). Agrego, por mi parte, el art. 84 de la ley 24.449 (Ley Nacional de Tránsito), que establece que las multas se fijan en UF, unidad de medida según el precio de la nafta especial (obviamente para mantener actualizado el valor de las multas), los préstamos hipotecarios de bancos oficiales con cuotas UVA (mecanismo de actualización), y la misma ley 14.967, que prevé que los honorarios deben regularse en JUS (arts. 9 y 51). Finalmente, está de más decir que el método planteado armoniza con el sentido de la evolución de la responsabilidad civil que, en los últimos años, ha modificado su epicentro, desplazándose de una obligación de reparar del responsable, hacia el derecho de la víctima a ser indemnizada. Es decir, la responsabilidad civil como crédito a la reparación</w:t>
      </w:r>
      <w:r>
        <w:rPr>
          <w:lang w:val="es-AR" w:eastAsia="es-AR" w:bidi="es-AR"/>
        </w:rPr>
        <w:t xml:space="preserve">" (sentencia del 22/11/2018, en causa N° 2237-14 caratulada "BRETHAUER, SERGIO GERARDO C/ IÑIGUEZ, SANDRA FABIANA Y OTROS S/ DAÑOS Y PERJ. AUTOM. C/LES. O MUERTE (EXC. ESTADO)", y sus acumuladas N° 3213-18 "TORRILLA, VERONICA VIVIANA C/IÑIGUEZ SANDRA FABIANA Y OTROS S/DAÑOS Y PERJ. AUTOM. CLES. O MUERTE (EXC. ESTADO)"  y N° 3214-18 "ALMIRON MAXIMILIANO ANDRES Y OTROS C/IÑIGUEZ SANDRA FABIANA Y OTROS S/DAÑOS Y PERJ. AUTOM. C/LES. O MUERTE (EXC. ESTADO).- Reg. Sent.  N°  175 /2018).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Por todo lo cual, la valoración del perjuicio debe hacerse al momento de la sentencia, en tanto que en ese momento la deuda de valor, configurada  al  momento del hecho, se convierte en una obligación de dar dinero. Con la derivación lógica que los intereses que corren desde la fecha del daño, se le aplicará una tasa de interés pura (esto es el accesorio solo destinado a la retribución de la privación del capital) hasta la sentencia y una tasa de interés con otros componentes de allí en adelante, en ambos casos sobre la suma mandada a pagar, como referiré luego.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Con respecto al valor vida, el apoderado del Banco demandado cuestiona la magnitud del monto acordado.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El sentido de la crítica esbozada me conduce a controlar la razonabilidad de la extensión de la condena en lo que a este rubro respecta. Dicha tarea revisora determina como imperativo metodológico la revisión de los presupuestos que fueron tenidos en cuenta por el a quo para fundar su conclusión.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Atento a que la edad de las partes al momento del hecho como así el tope máximo de edad temporal útil, no han sido materia de específica controversia en la especie, me abocaré a considerar la tercera variable fundamental para el cálculo del rubro en cuestión, cuál es el ingreso base para la estimación del aporte económico del que se vio privado el grupo familiar como consecuencia del fallecimiento de la víctima de autos.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En este sentido, advierto que la Jueza de grado ante la falta de elementos concretos para ponderar la pauta del ingreso dispuso que correspondía el salario del empleado judicial categoría Jefe de Despacho de la Suprema Corte de Justicia  45.660,55 (básico), como ingreso mensual del fallecido, pues ello se compadecía en cómo vivía el grupo familiar y antecedentes jurisprudenciales de dicho Juzgado.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Al respecto, he de manifestar mi desacuerdo con la aludida parcela del razonamiento judicial empleado en la instancia de grado. En primer lugar, esta Cámara ya ha resuelto que el criterio de subsidiariedad para determinar la variable "ingreso" ante la falta de elementos de prueba suficientes, es el salario mínimo, vital y móvil.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Así pues, en la causa n° 3612, este Tribunal siguiendo un precedente de la Alzada marplatense ha considerado </w:t>
      </w:r>
      <w:r>
        <w:rPr>
          <w:i/>
          <w:lang w:val="es-AR" w:eastAsia="es-AR" w:bidi="es-AR"/>
        </w:rPr>
        <w:t xml:space="preserve">"...que lo más apropiado es adoptar aquí la pauta del salario mínimo, vital y móvil como lo he sostenido en otros casos traídos a revisión. Sobre este punto, la Sala II de la Cámara de Apelaciones Civil y Comercial de Mar del Plata ha sostenido que: ´Cuando se carece de una pauta económica sobre la cual evaluar la incapacidad, se recurre al salario mínimo vital y móvil como índice orientador ya que es totalmente incierto el monto de los ingresos, y sobre ese monto se obtiene una suma que puede ser apreciada en más o en menos cuando las circunstancias así lo autorizan´</w:t>
      </w:r>
      <w:r>
        <w:rPr>
          <w:lang w:val="es-AR" w:eastAsia="es-AR" w:bidi="es-AR"/>
        </w:rPr>
        <w:t xml:space="preserve">(CC0102 MP., autos "SAUBIDET, ELSA RENÉ C/ EMPRESA DE TRANSPORTE 12 DE OCTUBRE SRL Y OTRO S/ DAÑOS Y PERJUICIOS", CC0102 MP 160665 299-S S, 29/11/2016; Sumario Juba:B5025405). Tal información además de ser pública y notoria, se presume conocida por todos en tanto que surge de normativa dictada al efecto por el CONSEJO NAC DEL EMPLEO PRODUCTIVIDAD Y EL SALARIO M.V.Y M, del   MINISTERIO DE TRABAJO, EMPLEO Y SEGURIDAD SOCIAL, con su correspondiente publicación en el Boletín Oficial (arts. 4 y 5 Cód.C.yC) (http://servicios.infoleg.gob.ar/infolegInternet/anexos/245000-249999/249538/norma.htm)".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En segundo término, los datos referidos para justificar la inaplicabilidad del criterio referido ut supra carecen de específico y concreto sustento en la sentencia atacada. Puntualmente, la magistrada de origen alude indeterminadamente al modo en "como vivía el grupo familiar" pero no justifica en el plano argumentativo y probatorio cómo sería realmente ese modo, es decir no explicita los hechos concretos que permiten sostener la situación invocada ni referencia cuál es la prueba a partir de la cual tiene por ciertos esos hechos. En similar sentido, se refiere a "antecedentes jurisprudenciales de este Juzgado", más no indica cuáles fueron los fallos que sirvieron de base para sostener el parámetro aplicado.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Con buen criterio, Taruffo ha dicho que:</w:t>
      </w:r>
      <w:r>
        <w:rPr>
          <w:i/>
          <w:lang w:val="es-AR" w:eastAsia="es-AR" w:bidi="es-AR"/>
        </w:rPr>
        <w:t xml:space="preserve"> "El problema de la averiguación de la verdad se refiere a dos conjuntos de hechos: antes que nada, los que resulten ser jurídicamente relevantes, puesto que tanto entran en el caso abstracto definido por la norma que se utiliza como regla para la decisión en derecho de la controversia, y, además, los hechos lógicamente relevantes (indicios, fuentes de presunción simple) que entran en el proceso, puesto que pueden representar la premisa de inferencias lógicas dirigidas a confirmar la verdad o la falsedad de los enunciados relativos a los hechos jurídicamente relevantes. El problema de la verdad tiene que ver con todos los hechos que resulten ser jurídica o lógicamente relevantes. Ello se plantea sin duda con respecto a los hechos jurídicamente relevantes, ya que, como se mencionó, de la averiguación de la verdad de los enunciados depende la posibilidad de aplicar válidamente la norma que determina la decisión y, por ende, la justicia de ésta. </w:t>
      </w:r>
      <w:r>
        <w:rPr>
          <w:b/>
          <w:i/>
          <w:lang w:val="es-AR" w:eastAsia="es-AR" w:bidi="es-AR"/>
        </w:rPr>
        <w:t xml:space="preserve">Sin embargo, también los enunciados que describen hechos lógicamente relevantes tienen que ser comprobados como verdaderos, ya que, de no serlo, no podrían constituir premisas cognoscitivamente válidas para la formulación de inferencias relativas a la verdad o a la falsedad de un enunciado concerniente a un hecho jurídicamente relevante</w:t>
      </w:r>
      <w:r>
        <w:rPr>
          <w:i/>
          <w:lang w:val="es-AR" w:eastAsia="es-AR" w:bidi="es-AR"/>
        </w:rPr>
        <w:t xml:space="preserve">"</w:t>
      </w:r>
      <w:r>
        <w:rPr>
          <w:lang w:val="es-AR" w:eastAsia="es-AR" w:bidi="es-AR"/>
        </w:rPr>
        <w:t xml:space="preserve"> (la letra en negrita me pertenece).(TARUFFO, Michael, Verdad, prueba y motivación, en la decisión sobre los hechos, Cuad.de divulgación de la Justicia Electoral http://dspace.utalca.cl/bitstream/1950/9675/1/procesal%2C%20taruffo%2C%20prueba%20y%20motivaci%C3%B3n%20en%20la%20decisi%C3%B3n%20sobre%20los%20hechos.pdf).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En virtud de lo expuesto, advierto que el razonamiento expresado por la magistrada constituye en este específico punto un supuesto de motivación aparente. En este aspecto, se ha dicho que la violación del principio de razón suficiente puede deberse a una falta o defecto de motivación. El primer supuesto se caracteriza por una ausencia total de razones tendientes a sustentar la decisión adoptada. El segundo consiste en una deficiencia en la motivación expresada que impide que esta se constituya en sustento suficiente de lo decidido. Al respecto, propugna Perelman que </w:t>
      </w:r>
      <w:r>
        <w:rPr>
          <w:i/>
          <w:lang w:val="es-AR" w:eastAsia="es-AR" w:bidi="es-AR"/>
        </w:rPr>
        <w:t xml:space="preserve">"la motivación aparente tiene lugar cuando el magistrado fundamenta su decisión en hechos inexistentes, en pruebas no actuada o se limitó a describir los hechos analizados por las partes sin analizarlos ni confrontarlos con la prueba producida en la causa" </w:t>
      </w:r>
      <w:r>
        <w:rPr>
          <w:lang w:val="es-AR" w:eastAsia="es-AR" w:bidi="es-AR"/>
        </w:rPr>
        <w:t xml:space="preserve">(PERELMAN, Chaim, "La lógica jurídica y la nueva retórica", Ed. Civitas, Madrid, 1979, p. 9).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A mayor abundamiento, considero que, aún cuando desde esta sede se tuviesen por ciertos los presupuestos citados por la Jueza de grado, no advierto que exista una relación razonable de equivalencia, semejanza o similitud entre la actividad de un constructor y la actividad de un oficial de justicia que permita validar la técnica de la analogía en el caso concreto (a saber, el primero se desenvuelve como un autónomo, sus tareas son eminentemente técnicas y sus ingresos variables, en tanto que el segundo se desempeña en relación de dependencia, su función es predominantemente administrativa y posee un ingreso fijo).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Por todo lo dicho es que habré de modificar el punto en tratamiento y proponer como variable determinativa del ingreso de la víctima en orden a la estimación del valor vida la pauta del salario mínimo, vital y móvil que, a la fecha, se estima en la suma de $ 21.600 (Resolución 4/2020).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Atento a lo expuesto, habré de recalcular el rubro valor en vida en función de dicha modificación, lo cual arroja un importe de $ 5.096.488,41 el cual habré de proponer en punto a la cotización del rubro en cuestión.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Pasando al daño moral, rubro que viene cuestionado por ambos apelantes, he de comenzar por el ensayado por el apoderado del Banco Macro S.A., quien cuestiona la procedencia del mismo, en tanto que la muerte del Sr. Marmarusso "... no les ocasionó trastorno psíquico ni dejó secuelas que constituyan una enfermedad mental ni daño psíquico que guarde relación con los hechos de autos, por lo que mal puede haber Daño Moral, ni condenar a abonar la exorbitante suma de condena recaída en autos".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Desde ya adelanto que no le asiste razón, en tanto que la muerte de un ser querido, en este caso esposo y padre de los actores, de por si ocasiona un daño extrapatrimonial, tal como lo edicta el art. 1078 del Cgo. Civil (vigente a la fecha del hecho motivo de autos), habiéndose señalado hasta el cansancio que el mismo no necesita de prueba, ya que en estos casos se presume, en tanto deviene necesariamente de la existencia de una  conducta humana  transgresora.-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Desde aquí se ha señalado que: "</w:t>
      </w:r>
      <w:r>
        <w:rPr>
          <w:i/>
          <w:lang w:val="es-AR" w:eastAsia="es-AR" w:bidi="es-AR"/>
        </w:rPr>
        <w:t xml:space="preserve">Se trata de un daño in re ipsa, en este caso concreto, que no requiere la producción de prueba directa; quedando configurado ante la razonable presunción de que el ilícito o acto antijurídico lesionó el equilibrio de una persona. Claramente el daño moral, contrariamente a lo que ocurre con respecto al daño material, se produce como consecuencia de la muerte de la víctima cuando es reclamada por un heredero o herederos forzosos a favor de quien media una presunción juris tantum en relación con la existencia de dicho daño. Y el fundamento de la reparación del daño moral no sólo corresponde por aplicación del art. 522 y 1078 del Cód. Civil sino por lo establecido en la Constitución Nacional al jerarquizar los tratados internacionales</w:t>
      </w:r>
      <w:r>
        <w:rPr>
          <w:lang w:val="es-AR" w:eastAsia="es-AR" w:bidi="es-AR"/>
        </w:rPr>
        <w:t xml:space="preserve">. (sent. del 16/07/2019 en causa N° 3522-18 caratulada "FESSER DAIANA MARIBEL Y OTROS  C/ MANITTO JORGE ALBERTO Y OTROS S/DAÑOS Y PERJ.AUTOM. C/LES. O MUERTE (EXC.ESTADO). Reg. Sent. Nro. 92 /2019).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Asimismo, nada tiene que ver el llamado "daño psicológico", como lo pretende la parte demandada en su queja, con el daño moral, ya que son diversas las consideraciones para la procedencia de cada uno de ellos, siendo en el daño moral el bien jurídico protegido la espiritualidad y en el daño  psicológico, la personalidad.  El daño moral no tiene origen patológico, el psicológico sí, en el daño moral se encuentra ausente el concepto de incapacidad, en el psicológico debe probarse.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En cuanto a la independencia conceptual y jurídica del daño psicológico en relación al daño moral, la jurisprudencia de los tribunales bonaerenses ha entendido que </w:t>
      </w:r>
      <w:r>
        <w:rPr>
          <w:i/>
          <w:lang w:val="es-AR" w:eastAsia="es-AR" w:bidi="es-AR"/>
        </w:rPr>
        <w:t xml:space="preserve">"la afección psíquica supone una perturbación patológica de la personalidad de la víctima que altera el equilibrio básico, mientras que el daño moral, implica existencia de una lesión de sentimientos o de la tranquilidad anímica, configurándose órbitas conceptualmente autónomas a los fines resarcitorios"</w:t>
      </w:r>
      <w:r>
        <w:rPr>
          <w:lang w:val="es-AR" w:eastAsia="es-AR" w:bidi="es-AR"/>
        </w:rPr>
        <w:t xml:space="preserve"> (CC0002 LZ 16452 RSD-262B-97 S 30-9-1997, "González de Velásquez M. E. c. Pallet Héctor s/daños y perjuicios", JUBA Civil y Com. B2600130).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lo que si debo acompañar, es en el reclamo de la parte actora en tanto que los montos otorgados por este rubro, son vistos a la fecha de la sentencia como notoriamente desajustados a la realidad económica que ya he expresado al tratar el daño material, razón por la cual propongo al acuerdo su modificación.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De entrada, se advierte que no pueden igualarse los padecimientos sufridos por la muerte de un padre, que por los del cónyuge o pareja, ya que cabe aplicar un criterio de apreciación más amplio en tanto que está fuera de discusión la mortificación y alteración de espíritu que provoca a los hijos la muerte de cualquiera de sus padres, si bien conforme el orden natural de la vida, los padres dejan este mundo antes que los hijos, el ser humano no está preparado para el dolor que ello significa y menos en forma traumática como fuera el hecho de autos.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Y, como bien lo ha señalado la jueza y que me permito transcribir, el menor "... </w:t>
      </w:r>
      <w:r>
        <w:rPr>
          <w:i/>
          <w:lang w:val="es-AR" w:eastAsia="es-AR" w:bidi="es-AR"/>
        </w:rPr>
        <w:t xml:space="preserve">tenía la edad de tres años de edad (3) al momento del fallecimiento de su padre, su pérdida importa la desaparición de la figura paterna, su guía consejera, como además ponerlo al menor rápidamente con la idea de la muerte</w:t>
      </w:r>
      <w:r>
        <w:rPr>
          <w:lang w:val="es-AR" w:eastAsia="es-AR" w:bidi="es-AR"/>
        </w:rPr>
        <w:t xml:space="preserve">", por lo que y en visto a la situación de autos estimo el mismo en la suma de un millón quinientos mil de pesos ($1.500.000), de los cuales los demandados por la distribución del porcentaje de responsabilidad, deberán soportar el 50% de esa suma (Art. 1078 del Cgol Civil y 165 del C.P.C. y C.).</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lo que respecta a la mensuración del daño para la cónyuge, también deberá ser elevado, en tanto que la muerte temprana de su pareja, como bien lo señalara la jueza  vio anticipadamente  frustrado el </w:t>
      </w:r>
      <w:r>
        <w:rPr>
          <w:i/>
          <w:lang w:val="es-AR" w:eastAsia="es-AR" w:bidi="es-AR"/>
        </w:rPr>
        <w:t xml:space="preserve">"... proyecto común, quedando a cargo de un hijo menor de edad, para criar, educar y sostenerle su propio dolor"</w:t>
      </w:r>
      <w:r>
        <w:rPr>
          <w:lang w:val="es-AR" w:eastAsia="es-AR" w:bidi="es-AR"/>
        </w:rPr>
        <w:t xml:space="preserve">, razón por la cual y en orden a lo que vengo pregonando sobre los valores actuales, propongo elevarlo a la suma de un millón de pesos ($1.000.000), suma de la cual la demandada por la distribución del porcentaje de responsabilidad, deberá soportar el 50% de esa suma (Art. 1078 del Cgol Civil y 165 del C.P.C. y C.).</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lo que respecta a los intereses, no se advierte existencia de error alguno en la sentencia de primera instancia, en tanto que los mismos se han establecido en concordancia con lo que viene aplicando esta Alzada y de acuerdo a la doctrina establecida en los fallos “Vera” y “Nidera S.A.” (c.120.536 del 18-IV-2018 y c.121.134, del 03-V-2018), por lo que corresponde que los intereses moratorios sobre el capital de sentencia sean calculados desde la fecha del hecho y hasta el momento en que se determinó el valor del capital controvertido (15/4/2020, esto es la de la sentencia de primera instancia, en tanto no ha existido entre esa fecha y la presente variación significativa de los montos), a una tasa pura del 6%. De allí en más, resultará aplicable la tasa pasiva más alta fijada por el Banco de la Provincia de Buenos Aires en sus depósitos a treinta días (SCBA causas C. 101.774, "Ponce"; L. 94.446, "Ginossi" y C. 119.176,"Cabrera").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Por último, el apoderado del banco condenado, reclama que las costas debieron ser impuestas en la misma proporción en que se ha distribuido la responsabilidad, y no le asiste razón en ello.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que su calidad de vencido en el planteo lo es en tanto que el reclamo efectuado en la demanda, en los sustancial ha prosperado y ello en forma independiente de que su responsabilidad en el hecho fuera declarada en forma parcial, lo cual no le cambia al actor la posición de ganancioso ni al demandado la de vencido.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w:t>
      </w:r>
      <w:r>
        <w:rPr>
          <w:i/>
          <w:lang w:val="es-AR" w:eastAsia="es-AR" w:bidi="es-AR"/>
        </w:rPr>
        <w:t xml:space="preserve">La circunstancia de que la demanda no prospere en su totalidad en razón de la desestimación de algunos de los rubros reclamados o la distribución de la responsabilidad, no quita al demandado la calidad de vencido a los efectos de las costas, pues la admisión parcial de la demanda no resta relevancia a la necesidad a la que se vio sometido el accionante.</w:t>
      </w:r>
      <w:r>
        <w:rPr>
          <w:lang w:val="es-AR" w:eastAsia="es-AR" w:bidi="es-AR"/>
        </w:rPr>
        <w:t xml:space="preserve">" (CC0003 LZ 821 RSD-10-10 S 16/02/2010  - Carátula: Gerpe, Beatriz c/Wal Mart Argentina S.R.L. s/Daños y perjuicios - sumario juba: B3750334).-</w:t>
      </w:r>
    </w:p>
    <w:p>
      <w:pPr>
        <w:pStyle w:val="[Normal]"/>
        <w:spacing w:line="360" w:lineRule="auto"/>
        <w:ind w:firstLine="1134"/>
        <w:jc w:val="both"/>
        <w:rPr>
          <w:color w:val="000000"/>
          <w:lang w:val="es-AR" w:eastAsia="es-AR" w:bidi="es-AR"/>
        </w:rPr>
      </w:pPr>
      <w:r>
        <w:rPr>
          <w:lang w:val="es-AR" w:eastAsia="es-AR" w:bidi="es-AR"/>
        </w:rPr>
        <w:t xml:space="preserve">                  </w:t>
      </w: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parcialmente los recursos de apelación deducidos por el apoderado del Banco Macro S.A. y por la actora, y en su mérito confirmar la sentencia primera en lo principal que decidiera, modificando los montos de valor vida el que se establece en la suma de $ 5.096.488,41 y el del daño moral, el que se fija en las sumas de $ 1.000.000 para la Sra. Yanina Daut  y de $ 1.500.000 para el Sr. Lucas Marmarusso.  Sumas de las cuales la demandada y condenada, en virtud de la distribución de responsabilidad, deberá soportar el 50%.</w:t>
      </w:r>
    </w:p>
    <w:p>
      <w:pPr>
        <w:pStyle w:val="[Normal]"/>
        <w:spacing w:line="360" w:lineRule="auto"/>
        <w:ind w:firstLine="1134"/>
        <w:jc w:val="both"/>
        <w:rPr>
          <w:color w:val="000000"/>
          <w:lang w:val="es-AR" w:eastAsia="es-AR" w:bidi="es-AR"/>
        </w:rPr>
      </w:pPr>
      <w:r>
        <w:rPr>
          <w:color w:val="000000"/>
          <w:lang w:val="es-AR" w:eastAsia="es-AR" w:bidi="es-AR"/>
        </w:rPr>
        <w:t xml:space="preserve">Las costas, atento el resultado parcialmente favorable obtenido, se distribuyen en un 80% para el banco demandado y un 20% para la parte actora (Art. 68, 71 y ccs. del C.P.C. y C.).</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deducido por el apoderado del Banco Bisel S.A. con costas por resultar vencido (Art. 68 del C.P.C. y C.).</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los honorarios para la oportunidad en que obre la correspondiente a la Instancia anterior (Arts. 31 y 51 ley arancelaria).</w:t>
      </w:r>
    </w:p>
    <w:p>
      <w:pPr>
        <w:pStyle w:val="[Normal]"/>
        <w:spacing w:line="360" w:lineRule="auto"/>
        <w:ind w:firstLine="1134"/>
        <w:jc w:val="both"/>
        <w:rPr>
          <w:color w:val="000000"/>
          <w:lang w:val="es-AR" w:eastAsia="es-AR" w:bidi="es-AR"/>
        </w:rPr>
      </w:pPr>
      <w:r>
        <w:rPr>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Hacer lugar parcialmente los recursos de apelación deducidos por el apoderado del Banco Macro S.A. y por la actora, y en su mérito confirmar la sentencia primera en lo principal que decidiera, modificando los montos de valor vida el que se establece en la suma de $ 5.096.488,41 y el del daño moral, el que se fija en las sumas de $ 1.000.000 para la Sra. Yanina Daut  y de $ 1.500.000 para el Sr. Lucas Marmarusso. Sumas de las cuales la demandada y condenada, en virtud de la distribución de responsabilidad, deberá soportar el 50%.</w:t>
      </w:r>
    </w:p>
    <w:p>
      <w:pPr>
        <w:pStyle w:val="[Normal]"/>
        <w:spacing w:line="360" w:lineRule="auto"/>
        <w:ind w:firstLine="1134"/>
        <w:jc w:val="both"/>
        <w:rPr>
          <w:color w:val="000000"/>
          <w:lang w:val="es-AR" w:eastAsia="es-AR" w:bidi="es-AR"/>
        </w:rPr>
      </w:pPr>
      <w:r>
        <w:rPr>
          <w:color w:val="000000"/>
          <w:lang w:val="es-AR" w:eastAsia="es-AR" w:bidi="es-AR"/>
        </w:rPr>
        <w:t xml:space="preserve">Las costas, atento el resultado parcialmente favorable obtenido, se distribuyen en un 80% para el banco demandado y un 20% para la parte actora (Art. 68, 71 y ccs. del C.P.C. y C.).</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deducido por el apoderado del Banco Bisel S.A. con costas por resultar vencido (Art. 68 del C.P.C. y C.).</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los honorarios para la debida oportunidad (Arts. 31 y 51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27169115015@NOTIFICACIONES.SCBA.GOV.AR</w:t>
      </w:r>
      <w:r>
        <w:rPr>
          <w:color w:val="000000"/>
          <w:lang w:val="es-AR" w:eastAsia="es-AR" w:bidi="es-AR"/>
        </w:rPr>
        <w:t xml:space="preserve"> </w:t>
      </w:r>
      <w:r>
        <w:rPr>
          <w:color w:val="000000"/>
          <w:lang w:val="es-AR" w:eastAsia="es-AR" w:bidi="es-AR"/>
        </w:rPr>
        <w:t xml:space="preserve">20228490343@NOTIFICACIONES.SCBA.GOV.AR</w:t>
      </w: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09:39:33 -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09:43:03 -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12:30:30 -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20228490343@NOTIFICACIONES.SCBA.GOV.AR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27169115015@NOTIFICACIONES.SCBA.GOV.AR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‰8%")è%è}d6Š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240502090005009368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2032 - 14 - DAUT, YANINA C/ BANCO MACRO S. A. S/ DAÑOS Y PERJUICIOS   </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‰8%")è%è}d6Š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Times New Roman" w:hAnsi="Times New Roman" w:eastAsia="Times New Roman" w:cs="Times New Roman"/>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