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rPr>
          <w:lang w:val="es-AR" w:eastAsia="es-AR" w:bidi="es-AR"/>
        </w:rPr>
      </w:pPr>
    </w:p>
    <w:p>
      <w:pPr>
        <w:pStyle w:val="[Normal]"/>
        <w:spacing w:line="360" w:lineRule="auto"/>
        <w:ind w:firstLine="1134"/>
        <w:rPr>
          <w:lang w:val="es-AR" w:eastAsia="es-AR" w:bidi="es-AR"/>
        </w:rPr>
      </w:pPr>
      <w:r>
        <w:rPr>
          <w:b/>
          <w:lang w:val="es-AR" w:eastAsia="es-AR" w:bidi="es-AR"/>
        </w:rPr>
        <w:t xml:space="preserve">Registro N° 26 /</w:t>
      </w:r>
      <w:r>
        <w:rPr>
          <w:b/>
          <w:color w:val="000000"/>
          <w:lang w:val="es-AR" w:eastAsia="es-AR" w:bidi="es-AR"/>
        </w:rPr>
        <w:t xml:space="preserve">2021</w:t>
      </w:r>
      <w:r>
        <w:rPr>
          <w:color w:val="000000"/>
          <w:lang w:val="es-AR" w:eastAsia="es-AR" w:bidi="es-AR"/>
        </w:rPr>
        <w:t xml:space="preserve"> </w:t>
      </w:r>
    </w:p>
    <w:p>
      <w:pPr>
        <w:pStyle w:val="[Normal]"/>
        <w:spacing w:line="360" w:lineRule="auto"/>
        <w:ind w:firstLine="1134"/>
        <w:jc w:val="both"/>
        <w:rPr>
          <w:lang w:val="es-AR" w:eastAsia="es-AR" w:bidi="es-AR"/>
        </w:rPr>
      </w:pPr>
      <w:r>
        <w:rPr>
          <w:b/>
          <w:lang w:val="es-AR" w:eastAsia="es-AR" w:bidi="es-AR"/>
        </w:rPr>
        <w:t xml:space="preserve">Fojas 135/141</w:t>
      </w: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23 Marzo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3889-20</w:t>
      </w:r>
      <w:r>
        <w:rPr>
          <w:lang w:val="es-AR" w:eastAsia="es-AR" w:bidi="es-AR"/>
        </w:rPr>
        <w:t xml:space="preserve"> caratulada </w:t>
      </w:r>
      <w:r>
        <w:rPr>
          <w:b/>
          <w:lang w:val="es-AR" w:eastAsia="es-AR" w:bidi="es-AR"/>
        </w:rPr>
        <w:t xml:space="preserve">"</w:t>
      </w:r>
      <w:r>
        <w:rPr>
          <w:b/>
          <w:color w:val="000000"/>
          <w:lang w:val="es-AR" w:eastAsia="es-AR" w:bidi="es-AR"/>
        </w:rPr>
        <w:t xml:space="preserve">RAMOS ALDANA LUCIA C/ CINGOLANI RODOLFO AGUSTIN Y OTRO/A S/ DAÑOS Y PERJ.AUTOM. C/LES. O MUERTE (EXC.ESTADO)</w:t>
      </w:r>
      <w:r>
        <w:rPr>
          <w:b/>
          <w:lang w:val="es-AR" w:eastAsia="es-AR" w:bidi="es-AR"/>
        </w:rPr>
        <w:t xml:space="preserve">"</w:t>
      </w:r>
      <w:r>
        <w:rPr>
          <w:lang w:val="es-AR" w:eastAsia="es-AR" w:bidi="es-AR"/>
        </w:rPr>
        <w:t xml:space="preserve">, Expte. N° </w:t>
      </w:r>
      <w:r>
        <w:rPr>
          <w:color w:val="000000"/>
          <w:lang w:val="es-AR" w:eastAsia="es-AR" w:bidi="es-AR"/>
        </w:rPr>
        <w:t xml:space="preserve">72.398</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Graciela Scaraffia, Bernardo Louise y Roberto Degleue,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en lo apelado?</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reguló los honorarios de la mediadora designada en autos, Dra. María José Linares, por su labor desarrollada en la etapa previa, en la suma de quince mil pesos ( $15.000), debiendo adicionarse el porcentual de ley (art. 31 ley 13.951, art. 31 inc. "d" del decreto reglam. 2530/10) y el porcentaje de ley previsto para el IVA en cuanto correspondiere. Ordenó notificar con transcripción del art. 54 de la ley 8904. Para así resolver recordó que en el presente caso, y de conformidad con lo normado por los arts. 31 de la ley 13.951 y 31 incs. 6 y 7 del dec. reglam.; correspondía regular los honorarios del mediador en la suma de $71.568, ello con más el porcentual previsto por el art. 12 de la ley 6716. Más esta solución importa consagrar una evidente injusticia, ya que dada la magnitud de la retribución que legalmente se establece para los mediadores, terminaría aquel percibiendo una retribución que no se correspondería con las tareas efectivamente realizadas. De tal guisa, dada la apuntada vulneración del principio de equidad, a fin de evitar la consagración de una flagrante injusticia, hubo de apartarse de la aplicación de la ley arancelaria de los mediadores, por considerarla inconstitucional, en tanto -aplicada a este caso-, arroja un resultado injusto, entendiendo por tal al supuesto en que se evidencia una manifiesta desproporción entre el valor económico del juicio y la naturaleza de la labor cumplida, al no guardar relación el honorario con una justa retribución, por resultar ésta exorbitante dada su ajenidad a toda proporción con los intereses controvertidos y consecuentemente en pugna con los arts. 14, 17 y 31 de la Constitución Nacional. En consecuencia, los honorarios del mediador interviniente, tienen como base el monto de demanda, y deben establecerse en función al mérito, importancia, resultado y etapas de la labor cumplida por aquél (arts. 16, 28 y ccs. de la Ley 8904).</w:t>
      </w:r>
    </w:p>
    <w:p>
      <w:pPr>
        <w:pStyle w:val="[Normal]"/>
        <w:spacing w:line="360" w:lineRule="auto"/>
        <w:ind w:firstLine="1134"/>
        <w:jc w:val="both"/>
        <w:rPr>
          <w:lang w:val="es-AR" w:eastAsia="es-AR" w:bidi="es-AR"/>
        </w:rPr>
      </w:pPr>
      <w:r>
        <w:rPr>
          <w:lang w:val="es-AR" w:eastAsia="es-AR" w:bidi="es-AR"/>
        </w:rPr>
        <w:t xml:space="preserve">Tal decisorio, fue objeto del recurso de apelación por parte de la mediadora, mediante el escrito electrónico de fecha 28/10/2020, concedido en relación y con efecto suspensivo y del mismo traslado a los obligados al pago. El 13/11/2020 fue evacuado por parte de la demandada y citada en garantía. Con fecha 26/11/2020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Cuestiona la quejosa la decisión respecto a la declaración inconstitucionalidad del art. 31 Ley 13951 y Decreto 2530/2010, tachándola de arbitraria, pues con ello incurre en una violación a la aplicación de la ley, fijando en definitiva una regulación de honorarios a su criterio insuficiente, con afectación a sus derecho de propiedad y el principio de igualdad. </w:t>
      </w:r>
    </w:p>
    <w:p>
      <w:pPr>
        <w:pStyle w:val="[Normal]"/>
        <w:spacing w:line="360" w:lineRule="auto"/>
        <w:ind w:firstLine="1134"/>
        <w:jc w:val="both"/>
        <w:rPr>
          <w:lang w:val="es-AR" w:eastAsia="es-AR" w:bidi="es-AR"/>
        </w:rPr>
      </w:pPr>
      <w:r>
        <w:rPr>
          <w:lang w:val="es-AR" w:eastAsia="es-AR" w:bidi="es-AR"/>
        </w:rPr>
        <w:t xml:space="preserve">Cuestiona que el A-quo entienda que tiene facultades para regular los honorarios cuando ya están establecidos por el art. 27 inc. 6 del Decreto 2530/10, pues existe una ley y un reglamento que prevé una escala arancelaria en orden a la determinación de los honorarios profesionales, sobre la cual no puede apartarse, tachando la resolución de arbitraria, inequitativa e infundada, por lo que pide su rechazo.</w:t>
      </w:r>
    </w:p>
    <w:p>
      <w:pPr>
        <w:pStyle w:val="[Normal]"/>
        <w:spacing w:line="360" w:lineRule="auto"/>
        <w:ind w:firstLine="1134"/>
        <w:jc w:val="both"/>
        <w:rPr>
          <w:lang w:val="es-AR" w:eastAsia="es-AR" w:bidi="es-AR"/>
        </w:rPr>
      </w:pPr>
      <w:r>
        <w:rPr>
          <w:lang w:val="es-AR" w:eastAsia="es-AR" w:bidi="es-AR"/>
        </w:rPr>
        <w:t xml:space="preserve">Finalmente se agravia de la valoración que hizo el juzgador de la labor por ella desarrollada, dado que la misma no puede medirse ni valuar por tratarse de una tarea prejudicial y de carácter confidencial, imposible de igualar con el resto de los profesionales interviniente en autos; lo que trae aparejado que su actividad no pueda ser mensurada, en tanto ya se encuentran tabulados. En consecuencia solicita se revoque la resolución recurrida y se regulen sus honorarios de acuerdo a lo dispuesto por los art. 31 Ley 13951, art. 27 inc. 6 y 7 Decreto 2530/2010.</w:t>
      </w:r>
    </w:p>
    <w:p>
      <w:pPr>
        <w:pStyle w:val="[Normal]"/>
        <w:spacing w:line="360" w:lineRule="auto"/>
        <w:ind w:firstLine="1134"/>
        <w:jc w:val="both"/>
        <w:rPr>
          <w:lang w:val="es-AR" w:eastAsia="es-AR" w:bidi="es-AR"/>
        </w:rPr>
      </w:pPr>
      <w:r>
        <w:rPr>
          <w:lang w:val="es-AR" w:eastAsia="es-AR" w:bidi="es-AR"/>
        </w:rPr>
        <w:t xml:space="preserve">Corrido el traslado, las obligadas al pago piden el rechazo del recurso, por considerar que el planteo formulado por la mediadora escapa de cualquier criterio de razonabilidad, tachándola de injusta y adhiriendo a la inconstitucionalidad dispuesta, solicitando en definitiva se confirme la regulación dictada en primera instancia. </w:t>
      </w:r>
    </w:p>
    <w:p>
      <w:pPr>
        <w:pStyle w:val="[Normal]"/>
        <w:spacing w:line="360" w:lineRule="auto"/>
        <w:ind w:firstLine="1134"/>
        <w:jc w:val="both"/>
        <w:rPr>
          <w:lang w:val="es-AR" w:eastAsia="es-AR" w:bidi="es-AR"/>
        </w:rPr>
      </w:pPr>
      <w:r>
        <w:rPr>
          <w:lang w:val="es-AR" w:eastAsia="es-AR" w:bidi="es-AR"/>
        </w:rPr>
        <w:t xml:space="preserve">Entrando a resolver, ésta Alzada ha señalado en oportunidades anteriores </w:t>
      </w:r>
      <w:r>
        <w:rPr>
          <w:color w:val="000000"/>
          <w:lang w:val="es-AR" w:eastAsia="es-AR" w:bidi="es-AR"/>
        </w:rPr>
        <w:t xml:space="preserve">(Cámara de Apelaciones en lo Civil y Comercial de Pergamino, </w:t>
      </w:r>
      <w:r>
        <w:rPr>
          <w:lang w:val="es-AR" w:eastAsia="es-AR" w:bidi="es-AR"/>
        </w:rPr>
        <w:t xml:space="preserve">autos N° </w:t>
      </w:r>
      <w:r>
        <w:rPr>
          <w:color w:val="000000"/>
          <w:lang w:val="es-AR" w:eastAsia="es-AR" w:bidi="es-AR"/>
        </w:rPr>
        <w:t xml:space="preserve">2631-16</w:t>
      </w:r>
      <w:r>
        <w:rPr>
          <w:lang w:val="es-AR" w:eastAsia="es-AR" w:bidi="es-AR"/>
        </w:rPr>
        <w:t xml:space="preserve">, caratulados "</w:t>
      </w:r>
      <w:r>
        <w:rPr>
          <w:color w:val="000000"/>
          <w:lang w:val="es-AR" w:eastAsia="es-AR" w:bidi="es-AR"/>
        </w:rPr>
        <w:t xml:space="preserve">GUTIERREZ JOSE MANUEL C/ MALUENDA CRISTIAN ROBERTO Y OTROS  S/DAÑOS Y PERJ.AUTOM. C/LES. O MUERTE (EXC.ESTADO)</w:t>
      </w:r>
      <w:r>
        <w:rPr>
          <w:lang w:val="es-AR" w:eastAsia="es-AR" w:bidi="es-AR"/>
        </w:rPr>
        <w:t xml:space="preserve">" , </w:t>
      </w:r>
      <w:r>
        <w:rPr>
          <w:color w:val="000000"/>
          <w:lang w:val="es-AR" w:eastAsia="es-AR" w:bidi="es-AR"/>
        </w:rPr>
        <w:t xml:space="preserve">23 de Agosto de 2017</w:t>
      </w:r>
      <w:r>
        <w:rPr>
          <w:lang w:val="es-AR" w:eastAsia="es-AR" w:bidi="es-AR"/>
        </w:rPr>
        <w:t xml:space="preserve">), </w:t>
      </w:r>
      <w:r>
        <w:rPr>
          <w:color w:val="000000"/>
          <w:lang w:val="es-AR" w:eastAsia="es-AR" w:bidi="es-AR"/>
        </w:rPr>
        <w:t xml:space="preserve">compartiendo en dicho aspecto lo expuesto por el A-quo, la falta de correspondencia que se configura en la regulación arancelaria de mediadores dado el sistema que al efecto prevé el Decr.-Regl. 2530/10,</w:t>
      </w:r>
      <w:r>
        <w:rPr>
          <w:lang w:val="es-AR" w:eastAsia="es-AR" w:bidi="es-AR"/>
        </w:rPr>
        <w:t xml:space="preserve"> cuyo art. 27 establece montos fijos de la base regulatoria, en relación a un valor de referencia -jus- que se actualiza automáticamente. Así, la depreciación monetaria torna desajustada con la realidad las bases de los incisos del artículo, cuyo monto superior -$ 100.000-, comúnmente se supera, correspondiendo entonces en la gran mayoría de casos el máximo de jus previstos, desvirtuándose la finalidad de la norma que no es otra que el aumento gradual de arancel en función de la importancia del interés en juego (confr. esta Cámara causa N° 2464, sent. del 15-12-2015, entr. otr.).  </w:t>
      </w:r>
    </w:p>
    <w:p>
      <w:pPr>
        <w:pStyle w:val="[Normal]"/>
        <w:spacing w:line="360" w:lineRule="auto"/>
        <w:ind w:firstLine="1134"/>
        <w:jc w:val="both"/>
        <w:rPr>
          <w:lang w:val="es-AR" w:eastAsia="es-AR" w:bidi="es-AR"/>
        </w:rPr>
      </w:pPr>
      <w:r>
        <w:rPr>
          <w:lang w:val="es-AR" w:eastAsia="es-AR" w:bidi="es-AR"/>
        </w:rPr>
        <w:t xml:space="preserve">Asimismo, deriva en la desproporción entre los honorarios de los letrados que representan a las partes a lo largo del juicio y los del mediador en la etapa previa, situación que se refleja en autos en cuanto el proceso judicial transcurrió en el lapso de más de dos años, pues se inició el 16 de Abril del 2018, y obtuvo sentencia definitiva el 13/4/2020, confirmada por Alzada el 13/8/2020, mientras que la etapa previa, fue iniciada en fecha 6 de noviembre de 2017 y en la que se habrían realizado tres audiencias, culminando en la última de ellas el día 28/12/2017 el trámite de mediación, por falta de acuerdo.</w:t>
      </w:r>
    </w:p>
    <w:p>
      <w:pPr>
        <w:pStyle w:val="[Normal]"/>
        <w:spacing w:line="360" w:lineRule="auto"/>
        <w:ind w:firstLine="1134"/>
        <w:jc w:val="both"/>
        <w:rPr>
          <w:lang w:val="es-AR" w:eastAsia="es-AR" w:bidi="es-AR"/>
        </w:rPr>
      </w:pPr>
      <w:r>
        <w:rPr>
          <w:lang w:val="es-AR" w:eastAsia="es-AR" w:bidi="es-AR"/>
        </w:rPr>
        <w:t xml:space="preserve">Ello es un dato objetivo que permite mensurar en parte, la entidad de las tareas desplegadas en cada una de las etapas del proceso. De modo que no se vincula el análisis con el de la confidencialidad que invoca la recurrente como impedimento para valorar los trabajos profesionales a los fines arancelarios.</w:t>
      </w:r>
    </w:p>
    <w:p>
      <w:pPr>
        <w:pStyle w:val="[Normal]"/>
        <w:spacing w:line="360" w:lineRule="auto"/>
        <w:ind w:firstLine="1134"/>
        <w:jc w:val="both"/>
        <w:rPr>
          <w:lang w:val="es-AR" w:eastAsia="es-AR" w:bidi="es-AR"/>
        </w:rPr>
      </w:pPr>
      <w:r>
        <w:rPr>
          <w:lang w:val="es-AR" w:eastAsia="es-AR" w:bidi="es-AR"/>
        </w:rPr>
        <w:t xml:space="preserve">Cabe reseñar en el "sub examine", como lo hemos dicho en el reciente antecedente sobre esta misma cuestión que se transcribe en lo pertinente -Reg. 2/21 de fecha 4/3/21-, ante la evidencia de los inconvenientes expuestos por el desajuste de la normativa en materia de estipendios, a la reciente reforma habida en la legislación a partir del dictado de nueva reglamentación de la ley 13.951, a través del decreto N° 43/19 vigente desde el 01/02/19 (B.O. 31/01/2019) que deroga el 2530/10 y establece respecto de la retribución del Mediador en su art. 31, una escala que utiliza montos fijos en pesos como base en relación también a montos fijos de honorarios en pesos, sumas que la Autoridad de Aplicación podrá readecuar </w:t>
      </w:r>
      <w:r>
        <w:rPr>
          <w:i/>
          <w:lang w:val="es-AR" w:eastAsia="es-AR" w:bidi="es-AR"/>
        </w:rPr>
        <w:t xml:space="preserve">"...tomando como parámetro la variación proporcional del valor del Jus arancelario" </w:t>
      </w:r>
      <w:r>
        <w:rPr>
          <w:lang w:val="es-AR" w:eastAsia="es-AR" w:bidi="es-AR"/>
        </w:rPr>
        <w:t xml:space="preserve"> (4to párr. sgte. a los incisos) ("FARELA LAILA MARIA AYELEN C/ NOVELLO GERMAN Y OTROS  S/ DAÑOS Y PERJ.AUTOM. C/LES. O MUERTE (EXC.ESTADO)" Causa N° 4184) .</w:t>
      </w:r>
    </w:p>
    <w:p>
      <w:pPr>
        <w:pStyle w:val="[Normal]"/>
        <w:spacing w:line="360" w:lineRule="auto"/>
        <w:ind w:firstLine="1134"/>
        <w:jc w:val="both"/>
        <w:rPr>
          <w:color w:val="000000"/>
          <w:lang w:val="es-AR" w:eastAsia="es-AR" w:bidi="es-AR"/>
        </w:rPr>
      </w:pPr>
      <w:r>
        <w:rPr>
          <w:lang w:val="es-AR" w:eastAsia="es-AR" w:bidi="es-AR"/>
        </w:rPr>
        <w:t xml:space="preserve">Conforme a lo expuesto, y en el caso de que se considere que la regulación de los honorarios del mediador resulta excesiva, desproporcionada o escasa, se han establecido dos opciones a seguir: A) la de la adecuación de la regulación en caso de que sea ello posible dentro de las disposiciones de la norma vigente, aún superando los límites de la misma por aplicación del art. 1255 del CCCN, o B) la descalificación de la norma, por contrap</w:t>
      </w:r>
      <w:r>
        <w:rPr>
          <w:color w:val="000000"/>
          <w:lang w:val="es-AR" w:eastAsia="es-AR" w:bidi="es-AR"/>
        </w:rPr>
        <w:t xml:space="preserve">onerse, como se ha dicho, al orden constitucional.</w:t>
      </w:r>
    </w:p>
    <w:p>
      <w:pPr>
        <w:pStyle w:val="[Normal]"/>
        <w:spacing w:line="360" w:lineRule="auto"/>
        <w:ind w:firstLine="1134"/>
        <w:jc w:val="both"/>
        <w:rPr>
          <w:i/>
          <w:color w:val="000000"/>
          <w:lang w:val="es-AR" w:eastAsia="es-AR" w:bidi="es-AR"/>
        </w:rPr>
      </w:pPr>
      <w:r>
        <w:rPr>
          <w:color w:val="000000"/>
          <w:lang w:val="es-AR" w:eastAsia="es-AR" w:bidi="es-AR"/>
        </w:rPr>
        <w:t xml:space="preserve">Al respecto, la Sala II de la Exma. Cámara de Dolores se ha expedido en punto al criterio de determinación de la vía procesal a través de la cual corresponde declarar inconstitucional la norma: "....</w:t>
      </w:r>
      <w:r>
        <w:rPr>
          <w:i/>
          <w:color w:val="000000"/>
          <w:lang w:val="es-AR" w:eastAsia="es-AR" w:bidi="es-AR"/>
        </w:rPr>
        <w:t xml:space="preserve">cuando existe una norma particular y específica para la resolución de la controversia, no podría acudirse por vía interpretativa a otra distinta si no se explicita el motivo de tal decisión y el por qué de su desplazamiento.  Cuando el universo jurídico ofrece diversas posibles disposiciones para resolver una controversia, podrá elegirse una norma por otra, acorde las particularidades del supuesto a dirimir, pero cuando la ley es clara y precisa se enfrenta a su declaración de inconstitucionalidad para así, luego, si así se dispusiere, aplicar otra disposición...“.</w:t>
      </w:r>
    </w:p>
    <w:p>
      <w:pPr>
        <w:pStyle w:val="[Normal]"/>
        <w:spacing w:line="360" w:lineRule="auto"/>
        <w:ind w:firstLine="1134"/>
        <w:jc w:val="both"/>
        <w:rPr>
          <w:lang w:val="es-AR" w:eastAsia="es-AR" w:bidi="es-AR"/>
        </w:rPr>
      </w:pPr>
      <w:r>
        <w:rPr>
          <w:color w:val="000000"/>
          <w:lang w:val="es-AR" w:eastAsia="es-AR" w:bidi="es-AR"/>
        </w:rPr>
        <w:t xml:space="preserve">Más abajo, precisando la cuestión, luego de tratar la habilitación que tienen los jueces de las diversas instancias para analizar y declarar de oficio la inconstitucionalidad en las causas que les fueran sometidas a su evaluación, señala transcribiendo ampliamente un fallo de la SCJN en la causa "Rodríguez Pereyra, Jorge Luís y otra c. Ejército Argentino s/ daños y perjuicios" (sent. del 27-XII-2012 Fallos: 335: 2333) en el que se dijo </w:t>
      </w:r>
      <w:r>
        <w:rPr>
          <w:i/>
          <w:color w:val="000000"/>
          <w:lang w:val="es-AR" w:eastAsia="es-AR" w:bidi="es-AR"/>
        </w:rPr>
        <w:t xml:space="preserve">“… el ejercicio del control de constitucionalidad de oficio por los magistrados debe tener lugar en el marco de sus respectivas competencias y de las regulaciones procesales correspondientes" (Conf. casos "Ibsen Cárdenas e Ibsen Peña" y "Gómez Lundy otros").  Desde esta perspectiva, el contralor normativo a cargo del juez presupone un proceso judicial ajustado a las reglas adjetivas aplicables entre las cuales revisten especial relevancia las que determinan la competencia de los órganos jurisdiccionales y, sobre todo las que fijan los requisitos de admisibilidad y fundamentación de las presentaciones o alegaciones de las partes.  Es conveniente recordar, al respecto, que la descalificación constitucional de un precepto normativo se encuentra supeditada a que en el pleito quede palmariamente demostrado que irroga a alguno de los contendientes un perjuicio concreto en la medida en que su aplicación entraña un desconocimiento o una restricción manifiestos de alguna garantía, derecho, título o prerrogativa fundados en la Constitución; es justamente la actividad probatoria de los contendientes así como sus planteos argumentales los que debe poner de manifiesto tal situación.  En este sentido se impone subrayar que cuanto mayor sea la claridad y el sustento fáctico y jurídico que exhiban las argumentaciones de las partes, mayores serán las posibilidades de que los jueces puedan decidir si el gravamen puede únicamente remediarse mediante la declaración de inconstitucionalidad de la norma que lo genera.” (Considerando 13, fallo cit.).</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En la especie, el Juez de primera instancia se ha inclinado por la vía de la declaración de inconstitucionalidad para neutralizar el resultado injusto al que se arriba por medio de la aplicación lisa y llana de la normativa arancelaria prevista en el Decreto 2530/10.</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Sin perjuicio de los reparos que pudiese merecer la pertinencia y oportunidad de la solución elegida por el a- quo, lo cierto es que los agravios vertidos por la mediadora no han logrado demostrar la improcedencia de la declaración de inconstitucionalidad como medio para impugnar la legitimidad de la norma cuestionada.</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En tal sentido, la recurrente en su memoria no ha justificado la existencia de otras vías más idóneas mediante las cuales fuese posible sustituir la inconstitucionalidad declarada como remedio extremo o ultima ratio. </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i/>
          <w:lang w:val="es-AR" w:eastAsia="es-AR" w:bidi="es-AR"/>
        </w:rPr>
      </w:pPr>
      <w:r>
        <w:rPr>
          <w:lang w:val="es-AR" w:eastAsia="es-AR" w:bidi="es-AR"/>
        </w:rPr>
        <w:t xml:space="preserve">Por otro lado, la recurrente no ha fundado satisfactoriamente la razonabilidad del resultado al que se arriba mediante la aplicación de las normas cuya constitucionalidad defiende.  En efecto, en su escrito de expresión de agravios, se limitó a afirmar dogmáticamente que "... </w:t>
      </w:r>
      <w:r>
        <w:rPr>
          <w:i/>
          <w:lang w:val="es-AR" w:eastAsia="es-AR" w:bidi="es-AR"/>
        </w:rPr>
        <w:t xml:space="preserve">Este decreto es compatible y NO COLISIONA con la Constitución y con la ley reglamentada. Y por ello es el que DEBE aplicarse a la retribución del mediador desplazando cualquier otra normativa arancelaria local ...".</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Considero que ello en modo alguno es así, toda vez que al fijarse la base para la retribución en una escala fija expresada en pesos y la retribución en sí en jus arancelarios, la relación entre sendas variables, que pudo ser históricamente razonable al momento del dictado de la norma cuestionada, quedó privada a la postre de todo sentido de proporcionalidad como consecuencia del impacto inflacionario que provocó el detrimento progresivo del contenido económico real de la variable expresada en pesos y mantuvo inalterado el contenido económico real de la variable expresa en jus arancelarios. </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Tan manifiesta resulta la inidoneidad del mecanismo previsto en la norma cuestionada -circunstancia que habría justificado el dictado del decreto N° 43/19 actualmente vigente- que, por vía de interpretación previsora, es fácil pronosticar que de continuar la tendencia inflacionaria en los niveles observados en los últimos años el monto de los honorarios de los mediadores terminaría superando la cuantía del juicio en todos los casos, circunstancia que evidencia la creciente desproporción del sistema derogado.</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Nuestra Corte Nacional ha alertado sobre el riesgo que implica una aplicación mecánica de la ley en tanto puede conducir al absurdo del </w:t>
      </w:r>
      <w:r>
        <w:rPr>
          <w:i/>
          <w:lang w:val="es-AR" w:eastAsia="es-AR" w:bidi="es-AR"/>
        </w:rPr>
        <w:t xml:space="preserve">summus ius, summa injuria</w:t>
      </w:r>
      <w:r>
        <w:rPr>
          <w:lang w:val="es-AR" w:eastAsia="es-AR" w:bidi="es-AR"/>
        </w:rPr>
        <w:t xml:space="preserve">.  Por este motivo, ha reclamado de los intérpretes que ponderen la realidad económica y que, en general, verifiquen la razonabilidad de los fallos atendiendo a las consecuencias que derivan de ellos (cf. CS, Chocobar, Sixto C.c. Caja Nac. de Prev para el Personal del Estado y Servicios Públicos, 27/12/1996 - Fallos: 319:3241 - LA LEY, 1997-B, 247 - La Ley Online, AR/JUR/2647/1996).</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Esta Cámara tiene dicho que: </w:t>
      </w:r>
      <w:r>
        <w:rPr>
          <w:i/>
          <w:lang w:val="es-AR" w:eastAsia="es-AR" w:bidi="es-AR"/>
        </w:rPr>
        <w:t xml:space="preserve">"la doctrina de la interpretación previsora opera como un mecanismo de opción entre varias interpretaciones posibles de la norma: se elige, entre ellas, a la que reproduzca un resultado provechoso.  El interprete no debe ser indiferente respecto del resultado de su labor, y que actúe sin tener en cuenta el contexto social en que tal resultado ocurre ordinariamente"</w:t>
      </w:r>
      <w:r>
        <w:rPr>
          <w:lang w:val="es-AR" w:eastAsia="es-AR" w:bidi="es-AR"/>
        </w:rPr>
        <w:t xml:space="preserve"> (Cámara de Apelaciones en lo Civil y Comercial de Pergamino, causa N° </w:t>
      </w:r>
      <w:r>
        <w:rPr>
          <w:color w:val="000000"/>
          <w:lang w:val="es-AR" w:eastAsia="es-AR" w:bidi="es-AR"/>
        </w:rPr>
        <w:t xml:space="preserve">3359-18</w:t>
      </w:r>
      <w:r>
        <w:rPr>
          <w:lang w:val="es-AR" w:eastAsia="es-AR" w:bidi="es-AR"/>
        </w:rPr>
        <w:t xml:space="preserve">   caratulada "</w:t>
      </w:r>
      <w:r>
        <w:rPr>
          <w:color w:val="000000"/>
          <w:lang w:val="es-AR" w:eastAsia="es-AR" w:bidi="es-AR"/>
        </w:rPr>
        <w:t xml:space="preserve">MORENO ALBERTO OSCAR C/ SILVA CARLOS ENRIQUE Y OTRO/A S/ RESCISION DE CONTRATOS CIVILES/COMERCIALES</w:t>
      </w:r>
      <w:r>
        <w:rPr>
          <w:lang w:val="es-AR" w:eastAsia="es-AR" w:bidi="es-AR"/>
        </w:rPr>
        <w:t xml:space="preserve">", 30 de Octubre de 2018).</w:t>
      </w:r>
    </w:p>
    <w:p>
      <w:pPr>
        <w:pStyle w:val="[Normal]"/>
        <w:spacing w:line="360" w:lineRule="auto"/>
        <w:ind w:firstLine="1134"/>
        <w:jc w:val="both"/>
        <w:rPr>
          <w:lang w:val="es-AR" w:eastAsia="es-AR" w:bidi="es-AR"/>
        </w:rPr>
      </w:pPr>
      <w:r>
        <w:rPr>
          <w:lang w:val="es-AR" w:eastAsia="es-AR" w:bidi="es-AR"/>
        </w:rPr>
        <w:t xml:space="preserve">La regla indica que en la interpretación de las normas no debe prescindirse de las consecuencias que se derivan de cada criterio, pues ellas constituyen uno de los índices más seguros para verificar su razonabilidad y su coherencia con el que sistema en que está engarzada la norma (ver en DUARTE, David, La unidad de análisis económico en la Corte, publicado en Revista de Derecho Laboral Actualidad, 1, 2010).</w:t>
      </w:r>
    </w:p>
    <w:p>
      <w:pPr>
        <w:pStyle w:val="[Normal]"/>
        <w:spacing w:line="360" w:lineRule="auto"/>
        <w:ind w:firstLine="1134"/>
        <w:jc w:val="both"/>
        <w:rPr>
          <w:lang w:val="es-AR" w:eastAsia="es-AR" w:bidi="es-AR"/>
        </w:rPr>
      </w:pPr>
      <w:r>
        <w:rPr>
          <w:lang w:val="es-AR" w:eastAsia="es-AR" w:bidi="es-AR"/>
        </w:rPr>
        <w:t xml:space="preserve">A mayor abundamiento, es menester acotar que en reciente pronunciamiento, la Corte Provincial sostuvo que: </w:t>
      </w:r>
      <w:r>
        <w:rPr>
          <w:i/>
          <w:lang w:val="es-AR" w:eastAsia="es-AR" w:bidi="es-AR"/>
        </w:rPr>
        <w:t xml:space="preserve">"... La competencia del legislador local para dictar normas sobre el ejercicio de las profesiones liberales, como manifestación del poder de policía que le otorga el ordenamiento (arts. 14 y 121, Const. nac.; 41 y 42, Const. prov.), comprende de ordinario el establecimiento de una serie de pautas y baremos remuneratorios. Pero de allí a restringir el quehacer ponderativo que informa a la definición en concreto de los honorarios -cometido que exige valorar sin cortapisas la actuación profesional y tener en cuenta la índole y cuantía del litigio, así como las constancias del expediente puntual en consideración (cfr. causa B. 75.332, "Mach", resol. de 4-VII-2018; e.o.)- media una distancia apreciable: la que puede separar lo legítimo de lo inconstitucional"</w:t>
      </w:r>
      <w:r>
        <w:rPr>
          <w:lang w:val="es-AR" w:eastAsia="es-AR" w:bidi="es-AR"/>
        </w:rPr>
        <w:t xml:space="preserve">. </w:t>
      </w:r>
      <w:r>
        <w:rPr>
          <w:i/>
          <w:lang w:val="es-AR" w:eastAsia="es-AR" w:bidi="es-AR"/>
        </w:rPr>
        <w:t xml:space="preserve">El apartamiento del umbral arancelario constituye por cierto un arbitrio que debe emplearse ante situaciones marcadamente singulares. (...) es indudable que en tales casos la aplicación a ultranza de los aranceles impuestos, cualquiera fuere la situación de la causa, puede conducir a resultados irrazonables o a refrendar estipendios injustificadamente elevados, desvinculados de la importancia de las tareas cumplidas o de la cuantía del litigio (arts. 28, Const. nac.; 171, Const. prov.). Bajo tales condiciones, reivindicar la razonabilidad y la ponderación dista de reflejar la adhesión a una consigna vacua o no atingente: revela el uso de una herramienta indispensable para la realización del derecho... "</w:t>
      </w:r>
      <w:r>
        <w:rPr>
          <w:lang w:val="es-AR" w:eastAsia="es-AR" w:bidi="es-AR"/>
        </w:rPr>
        <w:t xml:space="preserve"> (SCJBA,  causa P. 133.318-RC, "Colegio de Abogados de la Provincia de Buenos Aires s/ Recurso de Inconstitucionalidad en Expte. N° 492/18 seguido a López Muro, Jaime Oscar y Sosa Aubone, Ricardo Daniel", 5 de Septiembre de 2019). </w:t>
      </w:r>
    </w:p>
    <w:p>
      <w:pPr>
        <w:pStyle w:val="[Normal]"/>
        <w:spacing w:line="360" w:lineRule="auto"/>
        <w:ind w:firstLine="1134"/>
        <w:jc w:val="both"/>
        <w:rPr>
          <w:lang w:val="es-AR" w:eastAsia="es-AR" w:bidi="es-AR"/>
        </w:rPr>
      </w:pPr>
      <w:r>
        <w:rPr>
          <w:lang w:val="es-AR" w:eastAsia="es-AR" w:bidi="es-AR"/>
        </w:rPr>
        <w:t xml:space="preserve">Conforme a los lineamientos expuestos por la Casación Provincial, una sentencia que no tuviese en cuenta estas pautas esenciales y prescindiera del análisis de la extensión, calidad, complejidad de la labor profesional, de la trascendencia y magnitud económica del asunto, entre otros factores relevantes, omitiendo el examen circunstanciado del caso (art. 171, Const. prov.) sería arbitraria y no se correspondería con los valores superiores del ordenamiento (arg. arts. 2 y 3, Cód. Civ. y Com.). </w:t>
      </w:r>
    </w:p>
    <w:p>
      <w:pPr>
        <w:pStyle w:val="[Normal]"/>
        <w:spacing w:line="360" w:lineRule="auto"/>
        <w:ind w:firstLine="1134"/>
        <w:jc w:val="both"/>
        <w:rPr>
          <w:lang w:val="es-AR" w:eastAsia="es-AR" w:bidi="es-AR"/>
        </w:rPr>
      </w:pPr>
      <w:r>
        <w:rPr>
          <w:lang w:val="es-AR" w:eastAsia="es-AR" w:bidi="es-AR"/>
        </w:rPr>
        <w:t xml:space="preserve">Esta línea de razonamiento ha sido incluso validada por la Corte Suprema de la Nación al declarar procedente del apartamiento del umbral arancelario en la regulación de los honorarios para atender al imperativo racional que procura una adecuada proporción entre la cuantía de tales accesorios, el monto del juicio y los trabajos realizados (Fallos: 239:123; 244:299; 251:516; 256:232; 305:1897, e.o.). </w:t>
      </w:r>
    </w:p>
    <w:p>
      <w:pPr>
        <w:pStyle w:val="[Normal]"/>
        <w:spacing w:line="360" w:lineRule="auto"/>
        <w:ind w:firstLine="1134"/>
        <w:jc w:val="both"/>
        <w:rPr>
          <w:lang w:val="es-AR" w:eastAsia="es-AR" w:bidi="es-AR"/>
        </w:rPr>
      </w:pPr>
      <w:r>
        <w:rPr>
          <w:lang w:val="es-AR" w:eastAsia="es-AR" w:bidi="es-AR"/>
        </w:rPr>
        <w:t xml:space="preserve">Así, en fallos 329:4755, descalificó por arbitraria la sentencia que había confirmado la fijación de los estipendios sin hacerse cargo de los agravios referentes a la necesidad de desplazar la escala mínima planteados en la causa. Ante la desproporción de los montos resultantes por el concepto bajo examen, en el precedente de fallos: 320:495, el Máximo Tribunal Nacional precisó que los jueces debían tener presente, con un razonable margen de discrecionalidad, que una solución justa y ponderada no depende exclusivamente de la cuantía del juicio ni de las escalas arancelarias, sino de un conjunto de pautas más amplias. Más recientemente, en el caso de Fallos: 330:950 reiteró ese criterio para arribar a una decisión acorde con las circunstancias particulares del litigio. Conforme a dicha interpretación, ceñirse a los porcentuales de la ley arancelaria no siempre es ajustado a derecho, en tanto puede derivar en el establecimiento de sumas exorbitantes a la luz de las constancias del expediente (cons. 4°, cit.). A lo que añadió que la escala de la ley importa </w:t>
      </w:r>
      <w:r>
        <w:rPr>
          <w:i/>
          <w:lang w:val="es-AR" w:eastAsia="es-AR" w:bidi="es-AR"/>
        </w:rPr>
        <w:t xml:space="preserve">"un criterio general, una directriz ... de ponderación exclusiva en cada caso concreto"</w:t>
      </w:r>
      <w:r>
        <w:rPr>
          <w:lang w:val="es-AR" w:eastAsia="es-AR" w:bidi="es-AR"/>
        </w:rPr>
        <w:t xml:space="preserve"> (cons. 5°, cit.). </w:t>
      </w:r>
    </w:p>
    <w:p>
      <w:pPr>
        <w:pStyle w:val="[Normal]"/>
        <w:spacing w:line="360" w:lineRule="auto"/>
        <w:ind w:firstLine="1134"/>
        <w:jc w:val="both"/>
        <w:rPr>
          <w:lang w:val="es-AR" w:eastAsia="es-AR" w:bidi="es-AR"/>
        </w:rPr>
      </w:pPr>
      <w:r>
        <w:rPr>
          <w:lang w:val="es-AR" w:eastAsia="es-AR" w:bidi="es-AR"/>
        </w:rPr>
        <w:t xml:space="preserve">Si bien las consideraciones precedentes fueron efectuadas en ocasión de revisar la procedencia del apartamiento judicial respecto a las escalas mínimas arancelarias aplicables a los honorarios profesionales de abogados, se entiende desde aquí que las mismas resultan trasladables por analogía a la regulación de los emolumentos de los mediadores por cuanto dicha materia no es ajena a los reglas y principios que dimanan del orden constitucional y convencional.</w:t>
      </w:r>
    </w:p>
    <w:p>
      <w:pPr>
        <w:pStyle w:val="[Normal]"/>
        <w:spacing w:line="360" w:lineRule="auto"/>
        <w:ind w:firstLine="1134"/>
        <w:jc w:val="both"/>
        <w:rPr>
          <w:lang w:val="es-AR" w:eastAsia="es-AR" w:bidi="es-AR"/>
        </w:rPr>
      </w:pPr>
      <w:r>
        <w:rPr>
          <w:lang w:val="es-AR" w:eastAsia="es-AR" w:bidi="es-AR"/>
        </w:rPr>
        <w:t xml:space="preserve">En virtud de ello, he de disentir contra lo expresado por la parte apelante en sustento de su agravio. Es que resulta claro que una interpretación normativista pura de la regulación atinente a la escala arancelaria que conlleve a una aplicación literal y rígida del texto legal implicaría abrogar el control de constitucionalidad de las normas arancelarias en desmedro de los principios de razonabilidad, proporcionalidad, igualdad, etc. </w:t>
      </w:r>
    </w:p>
    <w:p>
      <w:pPr>
        <w:pStyle w:val="[Normal]"/>
        <w:spacing w:line="360" w:lineRule="auto"/>
        <w:ind w:firstLine="1134"/>
        <w:jc w:val="both"/>
        <w:rPr>
          <w:lang w:val="es-AR" w:eastAsia="es-AR" w:bidi="es-AR"/>
        </w:rPr>
      </w:pPr>
      <w:r>
        <w:rPr>
          <w:lang w:val="es-AR" w:eastAsia="es-AR" w:bidi="es-AR"/>
        </w:rPr>
        <w:t xml:space="preserve">Habiendo quedado en evidencia la improcedencia de los agravios vertidos para dejar sin efecto la declaración de inconstitucionalidad efectuada por el Juez de Primera Instancia, propongo al acuerdo confirmar la inaplicabilidad del Decreto 2530/10 en el caso concreto. </w:t>
      </w:r>
    </w:p>
    <w:p>
      <w:pPr>
        <w:pStyle w:val="[Normal]"/>
        <w:spacing w:line="360" w:lineRule="auto"/>
        <w:ind w:firstLine="850"/>
        <w:jc w:val="both"/>
        <w:rPr>
          <w:lang w:val="es-AR" w:eastAsia="es-AR" w:bidi="es-AR"/>
        </w:rPr>
      </w:pPr>
      <w:r>
        <w:rPr>
          <w:lang w:val="es-AR" w:eastAsia="es-AR" w:bidi="es-AR"/>
        </w:rPr>
        <w:t xml:space="preserve">Ahora bien, ante la falta de norma arancelaria específica como consecuencia de la inconstitucionalidad declarada, el Juez de grado procedió a la determinación de los honorarios de la mediadora con base en los principios emergentes de los arts. 14, 17 y 31 de la CN, y de los arts. 16 y 28 de la ley 8904).</w:t>
      </w:r>
    </w:p>
    <w:p>
      <w:pPr>
        <w:pStyle w:val="[Normal]"/>
        <w:spacing w:line="360" w:lineRule="auto"/>
        <w:ind w:firstLine="1134"/>
        <w:jc w:val="both"/>
        <w:rPr>
          <w:lang w:val="es-AR" w:eastAsia="es-AR" w:bidi="es-AR"/>
        </w:rPr>
      </w:pPr>
      <w:r>
        <w:rPr>
          <w:lang w:val="es-AR" w:eastAsia="es-AR" w:bidi="es-AR"/>
        </w:rPr>
        <w:t xml:space="preserve">Es sobre este punto que considero que la crítica recursiva debe ser parcialmente recibida, por cuanto de las constancias de autos (ver acta de mediación incorporada con la demanda) surge que se celebraron tres audiencias.  Amén de ello, cabe presumir que la celebración de la audiencia estuvo precedida de un trabajo mínimo de estudio o vista de los antecedentes del caso por parte del profesional que actuó como mediador a fin de poder cumplir con su cometido específico (art. 7 de la ley 13.951), como de la realización por parte del citado profesional de las diligencias de notificación a las partes (art. 10 de la ley 13.951).</w:t>
      </w:r>
    </w:p>
    <w:p>
      <w:pPr>
        <w:pStyle w:val="[Normal]"/>
        <w:spacing w:line="360" w:lineRule="auto"/>
        <w:ind w:firstLine="1134"/>
        <w:jc w:val="both"/>
        <w:rPr>
          <w:lang w:val="es-AR" w:eastAsia="es-AR" w:bidi="es-AR"/>
        </w:rPr>
      </w:pPr>
      <w:r>
        <w:rPr>
          <w:lang w:val="es-AR" w:eastAsia="es-AR" w:bidi="es-AR"/>
        </w:rPr>
        <w:t xml:space="preserve">Por ello, considero entonces, en honor al principio de equidad y proporcionalidad, que deviene menester por aplicación de la potestad estimatoria contenida en el segundo párrafo del art. 1255 del CCyC (en conc. con art. 1627 del C.C.), según la cual cuando los aranceles por servicios se deban fijar judicialmente conforme a las leyes de la materia, </w:t>
      </w:r>
      <w:r>
        <w:rPr>
          <w:i/>
          <w:lang w:val="es-AR" w:eastAsia="es-AR" w:bidi="es-AR"/>
        </w:rPr>
        <w:t xml:space="preserve">"...su determinación debe adecuarse a la labor cumplida por el prestador. Si la aplicación estricta de los aranceles locales conduce a una evidente e injustificada desproporción entre la retribución resultante y la importancia de la labor cumplida, el juez puede fijar equitativamente la retribución."</w:t>
      </w:r>
      <w:r>
        <w:rPr>
          <w:lang w:val="es-AR" w:eastAsia="es-AR" w:bidi="es-AR"/>
        </w:rPr>
        <w:t xml:space="preserve">, disposición que resulta aplicable a todos los servicios profesionales, sin distingos (conf. Cámara de Apelación en lo Civil y Comercial de Mar del Plata, Sala II causa nro. 135.310, RSI 327-567 del 09/08/2012).</w:t>
      </w:r>
    </w:p>
    <w:p>
      <w:pPr>
        <w:pStyle w:val="[Normal]"/>
        <w:spacing w:line="360" w:lineRule="auto"/>
        <w:ind w:firstLine="1134"/>
        <w:jc w:val="both"/>
        <w:rPr>
          <w:lang w:val="es-AR" w:eastAsia="es-AR" w:bidi="es-AR"/>
        </w:rPr>
      </w:pPr>
      <w:r>
        <w:rPr>
          <w:lang w:val="es-AR" w:eastAsia="es-AR" w:bidi="es-AR"/>
        </w:rPr>
        <w:t xml:space="preserve">En tal cometido, los honorarios correspondientes a la etapa de mediación habida, han de establecerse en función de las tareas realizadas conforme a las pautas relativas a su extensión, entidad y resultado, en seguimiento, como ya es criterio de esta Alzada, de la doctrina de los arts. 16, 28 y ccs. de la ley de aranceles para abogados de la Provincia de Bs. As., Decr.-Ley 8904 (causas N° 2138 RSI 148/2014; 2392 RSI 171/2015, ent. ots.).</w:t>
      </w:r>
    </w:p>
    <w:p>
      <w:pPr>
        <w:pStyle w:val="[Normal]"/>
        <w:spacing w:line="360" w:lineRule="auto"/>
        <w:ind w:firstLine="1134"/>
        <w:jc w:val="both"/>
        <w:rPr>
          <w:lang w:val="es-AR" w:eastAsia="es-AR" w:bidi="es-AR"/>
        </w:rPr>
      </w:pPr>
      <w:r>
        <w:rPr>
          <w:lang w:val="es-AR" w:eastAsia="es-AR" w:bidi="es-AR"/>
        </w:rPr>
        <w:t xml:space="preserve">En consecuencia, soy de la opinión que deben determinarse en la suma de TREINTA MIL pesos ($ 30.000).</w:t>
      </w:r>
    </w:p>
    <w:p>
      <w:pPr>
        <w:pStyle w:val="[Normal]"/>
        <w:spacing w:line="360" w:lineRule="auto"/>
        <w:ind w:firstLine="1134"/>
        <w:jc w:val="both"/>
        <w:rPr>
          <w:lang w:val="es-AR" w:eastAsia="es-AR" w:bidi="es-AR"/>
        </w:rPr>
      </w:pPr>
      <w:r>
        <w:rPr>
          <w:lang w:val="es-AR" w:eastAsia="es-AR" w:bidi="es-AR"/>
        </w:rPr>
        <w:t xml:space="preserve">Por último, no corresponde imposición de costas por actuación en esta Alzada, toda vez que "</w:t>
      </w:r>
      <w:r>
        <w:rPr>
          <w:i/>
          <w:lang w:val="es-AR" w:eastAsia="es-AR" w:bidi="es-AR"/>
        </w:rPr>
        <w:t xml:space="preserve">El procedimiento de regulación de honorarios no constituye juicio contradictorio de índole tal que genere costas por lo que el recurso deducido en aquel y los respectivos trabajos de Alzada no devengan honorarios"</w:t>
      </w:r>
      <w:r>
        <w:rPr>
          <w:lang w:val="es-AR" w:eastAsia="es-AR" w:bidi="es-AR"/>
        </w:rPr>
        <w:t xml:space="preserve"> (confr. CAP causas C-6245 RSI 3/2008; Nº1291 RSI 10/2014; 2457 RSI 6/2016, entre otros).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señores jueces Bernardo Louise y Roberto M. Degleue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CUESTION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parcialmente al recurso interpuesto y modificar solo en cuanto al monto la regulación de honorarios de la letrada Mediadora Dra. María Jose Linares, efectuada en fecha 19/10/20, estableciéndolos en la suma de TREINTA MIL pesos ($30.000), con más el porcentaje legal pertinente (ley 6716 y sus modif. T.O. decr. 4771/95, B.O. 15/2/96). (art. 35 ley 13.951, art. 27 Decr. Regl. 2530/10 en relación al art. 16, 28 y ccs. D/Ley 8904; art. 1255 CCyC).</w:t>
      </w:r>
    </w:p>
    <w:p>
      <w:pPr>
        <w:pStyle w:val="[Normal]"/>
        <w:spacing w:line="360" w:lineRule="auto"/>
        <w:ind w:firstLine="1134"/>
        <w:jc w:val="both"/>
        <w:rPr>
          <w:lang w:val="es-AR" w:eastAsia="es-AR" w:bidi="es-AR"/>
        </w:rPr>
      </w:pPr>
      <w:r>
        <w:rPr>
          <w:lang w:val="es-AR" w:eastAsia="es-AR" w:bidi="es-AR"/>
        </w:rPr>
        <w:t xml:space="preserve">Sin costas de Alzada (art. 68, segundo párrafo,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señores Jueces Bernardo Louise y Roberto Manuel Degleue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parcialmente al recurso interpuesto y modificar solo en cuanto al monto la regulación de honorarios de la letrada Mediadora Dra. María Jose Linares, efectuada en fecha 19/10/20, estableciéndolos en la suma de TREINTA MIL pesos ($30.000), con más el porcentaje legal pertinente (ley 6716 y sus modif. T.O. decr. 4771/95, B.O. 15/2/96). (art. 35 ley 13.951, art. 27 Decr. Regl. 2530/10 en relación al art. 16, 28 y ccs. D/Ley 8904; art. 1255 CCyC).</w:t>
      </w:r>
    </w:p>
    <w:p>
      <w:pPr>
        <w:pStyle w:val="[Normal]"/>
        <w:spacing w:line="360" w:lineRule="auto"/>
        <w:ind w:firstLine="1134"/>
        <w:jc w:val="both"/>
        <w:rPr>
          <w:lang w:val="es-AR" w:eastAsia="es-AR" w:bidi="es-AR"/>
        </w:rPr>
      </w:pPr>
      <w:r>
        <w:rPr>
          <w:lang w:val="es-AR" w:eastAsia="es-AR" w:bidi="es-AR"/>
        </w:rPr>
        <w:t xml:space="preserve">Sin costas de Alzada (art. 68, segundo párrafo, CPCC).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spacing w:line="360" w:lineRule="auto"/>
        <w:ind w:firstLine="1134"/>
        <w:rPr>
          <w:color w:val="000000"/>
          <w:lang w:val="es-AR" w:eastAsia="es-AR" w:bidi="es-AR"/>
        </w:rPr>
      </w:pPr>
      <w:r>
        <w:rPr>
          <w:color w:val="000000"/>
          <w:lang w:val="es-AR" w:eastAsia="es-AR" w:bidi="es-AR"/>
        </w:rPr>
        <w:t xml:space="preserve">20243296030@NOTIFICACIONES.SCBA.GOV.AR</w:t>
      </w:r>
    </w:p>
    <w:p>
      <w:pPr>
        <w:pStyle w:val="[Normal]"/>
        <w:spacing w:line="360" w:lineRule="auto"/>
        <w:ind w:firstLine="1134"/>
        <w:rPr>
          <w:color w:val="000000"/>
          <w:lang w:val="es-AR" w:eastAsia="es-AR" w:bidi="es-AR"/>
        </w:rPr>
      </w:pPr>
      <w:r>
        <w:rPr>
          <w:color w:val="000000"/>
          <w:lang w:val="es-AR" w:eastAsia="es-AR" w:bidi="es-AR"/>
        </w:rPr>
        <w:t xml:space="preserve">20216012152@NOTIFICACIONES.SCBA.GOV.AR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rPr>
          <w:color w:val="000000"/>
          <w:lang w:val="es-AR" w:eastAsia="es-AR" w:bidi="es-AR"/>
        </w:rPr>
        <w:t xml:space="preserve">27261840974@NOTIFICACIONES.SCBA.GOV.AR</w:t>
      </w: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23/03/2021 09:36:21 -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23/03/2021 09:49:49 -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23/03/2021 10:06:07 -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23/03/2021 10:17:08 -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20216012152@NOTIFICACIONES.SCBA.GOV.AR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20243296030@NOTIFICACIONES.SCBA.GOV.AR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27261840974@NOTIFICACIONES.SCBA.GOV.AR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‰6[")è%%,K+Š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225902090005051243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spacing w:line="360" w:lineRule="auto"/>
        <w:ind w:firstLine="1134"/>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3889 - 20 - RAMOS ALDANA LUCIA C/ CINGOLANI RODOLFO AGUSTIN Y OTRO/A S/ DAÑOS Y PERJ.AUTOM. C/LES. O MUERTE (EXC.ESTADO)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‰6[")è%%,K+Š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225902090005051243</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