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21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116/120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16 de Marzo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3974-20</w:t>
      </w:r>
      <w:r>
        <w:rPr>
          <w:lang w:val="es-AR" w:eastAsia="es-AR" w:bidi="es-AR"/>
        </w:rPr>
        <w:t xml:space="preserve"> caratulada </w:t>
      </w:r>
      <w:r>
        <w:rPr>
          <w:b/>
          <w:lang w:val="es-AR" w:eastAsia="es-AR" w:bidi="es-AR"/>
        </w:rPr>
        <w:t xml:space="preserve">"</w:t>
      </w:r>
      <w:r>
        <w:rPr>
          <w:b/>
          <w:color w:val="000000"/>
          <w:lang w:val="es-AR" w:eastAsia="es-AR" w:bidi="es-AR"/>
        </w:rPr>
        <w:t xml:space="preserve">PARDO S.A.  C/ LARRABURU HECTOR DANIEL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85061</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Señora Jueza de la anterior instancia declaró inhábiles los títulos que instrumentan la relación de consumo y en consecuencia, rechazó "sin más trámite" la presente demanda, y dispuso el Archivo de las presentes actuaciones. Con costas al ejecutante vencido. (arts. 68 y 556 del CPCC).  Difirió la regulación de honorarios para la oportunidad en que se encuentre firme la sentencia  y se diera cumplimiento a lo dispuesto por el art. 23 de la ley 14967 (conf. Excma. Cámara Primera de Apelación de San NIcolás, Res. N° 103 F° 127 del 26/10/17, en lo que a la aplicación inmediata de la nueva ley de honorarios concierne).</w:t>
      </w:r>
    </w:p>
    <w:p>
      <w:pPr>
        <w:pStyle w:val="[Normal]"/>
        <w:spacing w:line="360" w:lineRule="auto"/>
        <w:ind w:firstLine="1134"/>
        <w:jc w:val="both"/>
        <w:rPr>
          <w:lang w:val="es-AR" w:eastAsia="es-AR" w:bidi="es-AR"/>
        </w:rPr>
      </w:pPr>
      <w:r>
        <w:rPr>
          <w:lang w:val="es-AR" w:eastAsia="es-AR" w:bidi="es-AR"/>
        </w:rPr>
        <w:t xml:space="preserve">Dicho decisorio fue objeto del recurso de apelación interpuesto por la parte actora en fecha 23/10/20 y fundado el 6/11/20, en fecha 27/10/20 se concede en relación y con efecto suspensivo. </w:t>
      </w:r>
    </w:p>
    <w:p>
      <w:pPr>
        <w:pStyle w:val="[Normal]"/>
        <w:spacing w:line="360" w:lineRule="auto"/>
        <w:ind w:firstLine="1134"/>
        <w:jc w:val="both"/>
        <w:rPr>
          <w:lang w:val="es-AR" w:eastAsia="es-AR" w:bidi="es-AR"/>
        </w:rPr>
      </w:pPr>
      <w:r>
        <w:rPr>
          <w:lang w:val="es-AR" w:eastAsia="es-AR" w:bidi="es-AR"/>
        </w:rPr>
        <w:t xml:space="preserve">En fecha 12/11/2020 se llama a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Principia su queja la apelante en que la decisión del a-quo resulta arbitraria y perjudicial para su representada, considerando que la documentación acompañada y debidamente suscripta por el demandado cumple con lo requerido por el Ministerio Publico Fiscal  y con el art. 35 de la ley 24.240, y en concordancia con el criterio y doctrina de la CSBA. Sostiene en contraposición, que se ha dado cumplimiento a la normativa específica establecida en protección del consumidor, detallando los datos que surgen de los instrumentos y considerando que con la integración de todos los instrumentos se ha cumplido con la debida información (punto 2 de los agravios).</w:t>
      </w:r>
    </w:p>
    <w:p>
      <w:pPr>
        <w:pStyle w:val="[Normal]"/>
        <w:spacing w:line="360" w:lineRule="auto"/>
        <w:ind w:firstLine="1134"/>
        <w:jc w:val="both"/>
        <w:rPr>
          <w:lang w:val="es-AR" w:eastAsia="es-AR" w:bidi="es-AR"/>
        </w:rPr>
      </w:pPr>
      <w:r>
        <w:rPr>
          <w:lang w:val="es-AR" w:eastAsia="es-AR" w:bidi="es-AR"/>
        </w:rPr>
        <w:t xml:space="preserve">Ataca el cuestionamiento formulado por la Magistrada en cuanto a la política crediticia de la ejecutante, quien concedió un segundo préstamo a un sujeto que ya estaba en mora, refiriendo que tal conducta no es violatoria de derecho alguno, rechazando la presunción a la que ha arribado la juez de grado de que el pagaré fue firmado en blanco y que el demandado ha realizado pagos, razonamiento a su criterio poco entendible y sin basamento normativo alguno.</w:t>
      </w:r>
    </w:p>
    <w:p>
      <w:pPr>
        <w:pStyle w:val="[Normal]"/>
        <w:spacing w:line="360" w:lineRule="auto"/>
        <w:ind w:firstLine="1134"/>
        <w:jc w:val="both"/>
        <w:rPr>
          <w:lang w:val="es-AR" w:eastAsia="es-AR" w:bidi="es-AR"/>
        </w:rPr>
      </w:pPr>
      <w:r>
        <w:rPr>
          <w:lang w:val="es-AR" w:eastAsia="es-AR" w:bidi="es-AR"/>
        </w:rPr>
        <w:t xml:space="preserve">Objeta que en la resolución se aparta de la base de la existencia de una violación a la normativa por parte de su poderdante, acusándolo de abultar el monto del endeudamiento por anatocismo y abuso de derecho, dado que de la documentación acompañada surge la debida información al demandado de los intereses acordados.</w:t>
      </w:r>
    </w:p>
    <w:p>
      <w:pPr>
        <w:pStyle w:val="[Normal]"/>
        <w:spacing w:line="360" w:lineRule="auto"/>
        <w:ind w:firstLine="1134"/>
        <w:jc w:val="both"/>
        <w:rPr>
          <w:lang w:val="es-AR" w:eastAsia="es-AR" w:bidi="es-AR"/>
        </w:rPr>
      </w:pPr>
      <w:r>
        <w:rPr>
          <w:lang w:val="es-AR" w:eastAsia="es-AR" w:bidi="es-AR"/>
        </w:rPr>
        <w:t xml:space="preserve">Resalta la mala interpretación del derecho aplicada por la Magistrada, la cual considera contraria a la doctrina de la Corte Provincial y a los casos similares al presente que tramitan ante los juzgados de esta misma departamental, para concluir en la inadmisibilidad del título, y no despachar la ejecución como lo hacen los pares de su jurisdicción.</w:t>
      </w:r>
    </w:p>
    <w:p>
      <w:pPr>
        <w:pStyle w:val="[Normal]"/>
        <w:spacing w:line="360" w:lineRule="auto"/>
        <w:ind w:firstLine="1134"/>
        <w:jc w:val="both"/>
        <w:rPr>
          <w:lang w:val="es-AR" w:eastAsia="es-AR" w:bidi="es-AR"/>
        </w:rPr>
      </w:pPr>
      <w:r>
        <w:rPr>
          <w:lang w:val="es-AR" w:eastAsia="es-AR" w:bidi="es-AR"/>
        </w:rPr>
        <w:t xml:space="preserve">Destaca que de las constancias de autos se deja claro que no se ha violentado principio alguno en la relación de consumo y que el a-quo aplica normativa prevista en un anteproyecto de LDC, el cual aún no es aplicable, por no formar parte de nuestro ordenamiento positivo. Por último sostiene que el título valor base de la presente ejecución, autónomo   o integrado, reúne los requisitos del mentado art. 36 de  LDC, y será pertinente la ejecución en los límites que resulten del negocio base de la relación jurídica, por tanto pide se revoque el decisorio en crisis y se ordene llevar adelante la ejecución mediante el libramiento del mandamiento pertinente.</w:t>
      </w:r>
    </w:p>
    <w:p>
      <w:pPr>
        <w:pStyle w:val="[Normal]"/>
        <w:spacing w:line="360" w:lineRule="auto"/>
        <w:ind w:firstLine="1134"/>
        <w:jc w:val="both"/>
        <w:rPr>
          <w:lang w:val="es-AR" w:eastAsia="es-AR" w:bidi="es-AR"/>
        </w:rPr>
      </w:pPr>
      <w:r>
        <w:rPr>
          <w:lang w:val="es-AR" w:eastAsia="es-AR" w:bidi="es-AR"/>
        </w:rPr>
        <w:t xml:space="preserve">Entrando a resolver he de señalar que este Tribunal se ha expedido en varias oportunidades, analizando y reconociendo la ejecutabilidad del pagaré de consumo, siempre que se cumpla con la normativa consumeril y el deber de información, con los instrumentos anexos al pagaré, autorizando incluso la integración del mismo.</w:t>
      </w:r>
    </w:p>
    <w:p>
      <w:pPr>
        <w:pStyle w:val="[Normal]"/>
        <w:spacing w:line="360" w:lineRule="auto"/>
        <w:ind w:firstLine="1134"/>
        <w:jc w:val="both"/>
        <w:rPr>
          <w:lang w:val="es-AR" w:eastAsia="es-AR" w:bidi="es-AR"/>
        </w:rPr>
      </w:pPr>
      <w:r>
        <w:rPr>
          <w:i/>
          <w:lang w:val="es-AR" w:eastAsia="es-AR" w:bidi="es-AR"/>
        </w:rPr>
        <w:t xml:space="preserve">"</w:t>
      </w:r>
      <w:r>
        <w:rPr>
          <w:i/>
          <w:color w:val="000000"/>
          <w:lang w:val="es-AR" w:eastAsia="es-AR" w:bidi="es-AR"/>
        </w:rPr>
        <w:t xml:space="preserve">En suma, el pagaré de consumo no está vedado por la legislación, sigue existiendo como título cambiario y mantiene su vigencia como título ejecutivo, pero al análisis de su ejecutabilidad se aduna, acreditada la relación de consumo -lo que supone el examen del negocio subyacente-, la indagación respecto del cumplimiento de los requisitos previstos por la LDC, siendo carga de las partes dentro de la limitación temporal que conjugue los principios de bilateralidad e igualdad procesal, la prueba respectiva en la medida de su interés.- De tal modo se armonizan e integran de forma coherente las fuentes normativas de fondo en conflicto, así como los principios procesales aludidos. (dec. ley 5965/63, ley 24.240; arts. 34 inc. 5 "c", 36 inc. 2, 521 y ccs. del CPCC).-</w:t>
      </w:r>
      <w:r>
        <w:rPr>
          <w:color w:val="000000"/>
          <w:lang w:val="es-AR" w:eastAsia="es-AR" w:bidi="es-AR"/>
        </w:rPr>
        <w:t xml:space="preserve"> "</w:t>
      </w:r>
      <w:r>
        <w:rPr>
          <w:lang w:val="es-AR" w:eastAsia="es-AR" w:bidi="es-AR"/>
        </w:rPr>
        <w:t xml:space="preserve"> (CAP. Causa 3681/19, Reg. 151/19).</w:t>
      </w:r>
    </w:p>
    <w:p>
      <w:pPr>
        <w:pStyle w:val="[Normal]"/>
        <w:spacing w:line="360" w:lineRule="auto"/>
        <w:ind w:firstLine="1134"/>
        <w:jc w:val="both"/>
        <w:rPr>
          <w:lang w:val="es-AR" w:eastAsia="es-AR" w:bidi="es-AR"/>
        </w:rPr>
      </w:pPr>
      <w:r>
        <w:rPr>
          <w:lang w:val="es-AR" w:eastAsia="es-AR" w:bidi="es-AR"/>
        </w:rPr>
        <w:t xml:space="preserve">En el caso traído a resolver, adelanto opinión que el recurso debe ser atendido aplicando por analogía los argumentos vertidos en el antecedente de la Causa 4005, caratulada </w:t>
      </w:r>
      <w:r>
        <w:rPr>
          <w:b/>
          <w:lang w:val="es-AR" w:eastAsia="es-AR" w:bidi="es-AR"/>
        </w:rPr>
        <w:t xml:space="preserve">"ASOCIACION MUTUAL DE VENADO TUERTO C/ ALVAREZ MARIA EUGENIA Y OTRO/A S/ COBRO EJECUTIVO" (13/10/20, Reg. N° 144/2020),</w:t>
      </w:r>
      <w:r>
        <w:rPr>
          <w:lang w:val="es-AR" w:eastAsia="es-AR" w:bidi="es-AR"/>
        </w:rPr>
        <w:t xml:space="preserve"> la cual en lo pertinente se transcribe. </w:t>
      </w:r>
    </w:p>
    <w:p>
      <w:pPr>
        <w:pStyle w:val="[Normal]"/>
        <w:spacing w:line="360" w:lineRule="auto"/>
        <w:ind w:firstLine="1134"/>
        <w:jc w:val="both"/>
        <w:rPr>
          <w:lang w:val="es-AR" w:eastAsia="es-AR" w:bidi="es-AR"/>
        </w:rPr>
      </w:pPr>
      <w:r>
        <w:rPr>
          <w:lang w:val="es-AR" w:eastAsia="es-AR" w:bidi="es-AR"/>
        </w:rPr>
        <w:t xml:space="preserve">Tiene dicho esta alzada en oportunidades anteriores, </w:t>
      </w:r>
      <w:r>
        <w:rPr>
          <w:i/>
          <w:lang w:val="es-AR" w:eastAsia="es-AR" w:bidi="es-AR"/>
        </w:rPr>
        <w:t xml:space="preserve">"...el cumplimiento de los requisitos de forma exigidos por la ley cambiaria como los recaudos informativos del art. 36 de la LDC configuran una condición necesaria más no suficiente para la procedencia de la vía ejecutiva. Amén de ello, es preciso que en el título que traiga aparejada ejecución se demandare por obligación exigible de dar cantidades de líquidas de dinero o fácilmente liquidables</w:t>
      </w:r>
      <w:r>
        <w:rPr>
          <w:lang w:val="es-AR" w:eastAsia="es-AR" w:bidi="es-AR"/>
        </w:rPr>
        <w:t xml:space="preserve">."(causa N° 3680 RSD 134/19 ent. ots.)</w:t>
      </w:r>
    </w:p>
    <w:p>
      <w:pPr>
        <w:pStyle w:val="[Normal]"/>
        <w:spacing w:line="360" w:lineRule="auto"/>
        <w:ind w:firstLine="1134"/>
        <w:jc w:val="both"/>
        <w:rPr>
          <w:lang w:val="es-AR" w:eastAsia="es-AR" w:bidi="es-AR"/>
        </w:rPr>
      </w:pPr>
      <w:r>
        <w:rPr>
          <w:lang w:val="es-AR" w:eastAsia="es-AR" w:bidi="es-AR"/>
        </w:rPr>
        <w:t xml:space="preserve">La Jueza de grado fundó el rechazo de la ejecución en la inclusión de los intereses en el pagaré sin que ello corresponda y sin que haya sido pactado expresamente la capitalización de los intereses. Partió de la base de una presunta existencia de pagos parciales y que los instrumentos base de la ejecución fueron firmados en blanco, y que en el caso al demandar se haya omitido descontar algunos pagos realizados correspondientes al primer crédito otorgado al deudor ya moroso. Al capitalizarse los intereses compensatorios se ha abultado el endeudamiento y constituye un claro caso de anatocismo y abuso del derecho por parte del ejecutante, concluyendo que los pagarés acompañados no reúnen los recaudos de la LDC y se constituye como instrumentos de garantía que vulnera el principio de buena fe, mas entiendo -analizando los instrumentos acompañados- que no resulta ajustado a derecho las conclusiones a las que ha arribado la Magistrada anterior, pues en el caso no se denuncia pago alguno y lo que se reclama es el total del monto que surge del instrumento primogénito el cual se refleja finalmente en el pagaré, vencido la totalidad de las cuotas del crédito</w:t>
      </w:r>
      <w:r>
        <w:rPr>
          <w:b/>
          <w:lang w:val="es-AR" w:eastAsia="es-AR" w:bidi="es-AR"/>
        </w:rPr>
        <w:t xml:space="preserve">.</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efecto en la instancia que se encuentra el proceso, lo que debe examinar el juez son los llamados presupuestos procesales que hacen a que el titulo resulte hábil; que se enmarcan en las formalidades del acto -en nuestro caso al ser un pagaré, el cumplimiento de los requisitos D/L 5965/1963-, cumplimiento de tasa y patrocinio letrado, y al existir una relación de consumo (cuestión no controvertida hasta ahora), se debe agregar la indagación de cumplimiento de los requisitos establecidos en el art. 36 de Ley 24.240,  poniendo con todo ello en funcionamiento y de manera oficiosa, lo que se conoce doctrinariamente como el examen cuidadoso del título, previo a ordenar el mandamiento respectivo (Art. 529 del CPC y su doctrina). Cabe señalar sobre el particular, que tal decisión de despachar la ejecución no hace cosa juzgada ni importa prejuzgamiento, habiéndose resuelto certeramente que la habilidad del titulo es cuestión que el Tribunal puede plantear aún de oficio hasta el momento de dictar sentencia (CAP 1420/94, 17/11/1994, Reg N° 87, F° 322, Sumario JUBA B2800228) o incluso por una excepción plateada por la ejecutada, quién aún no ha tomado partido en autos.  </w:t>
      </w:r>
    </w:p>
    <w:p>
      <w:pPr>
        <w:pStyle w:val="[Normal]"/>
        <w:spacing w:line="360" w:lineRule="auto"/>
        <w:ind w:firstLine="1134"/>
        <w:jc w:val="both"/>
        <w:rPr>
          <w:lang w:val="es-AR" w:eastAsia="es-AR" w:bidi="es-AR"/>
        </w:rPr>
      </w:pPr>
      <w:r>
        <w:rPr>
          <w:lang w:val="es-AR" w:eastAsia="es-AR" w:bidi="es-AR"/>
        </w:rPr>
        <w:t xml:space="preserve">En relación a la presunta existencia de los pagos parciales he de mencionar que resulta cierto que la incertidumbre correspondiente a las circunstancias temporales del pago parcial repercute sobre los alcances de la mora del deudor y en forma derivada en el cómputo de los intereses adeudados (art. 768 del CCyC.), dificultando la liquidación de la deuda. </w:t>
      </w:r>
    </w:p>
    <w:p>
      <w:pPr>
        <w:pStyle w:val="[Normal]"/>
        <w:spacing w:line="360" w:lineRule="auto"/>
        <w:ind w:firstLine="1134"/>
        <w:jc w:val="both"/>
        <w:rPr>
          <w:lang w:val="es-AR" w:eastAsia="es-AR" w:bidi="es-AR"/>
        </w:rPr>
      </w:pPr>
      <w:r>
        <w:rPr>
          <w:lang w:val="es-AR" w:eastAsia="es-AR" w:bidi="es-AR"/>
        </w:rPr>
        <w:t xml:space="preserve">Por el contrario, un crédito es líquido cuando se encuentra definida su cuantía, de suerte que se sabe lo que se debe. Y resulta fácilmente liquidable cuando deviene determinable en su cuantía mediante sencillas operaciones aritméticas o a través de la revisión simple de libros (PIZARRO, Ramón Daniel, VALLESPINOS, Gustavo Carlos, Instituciones de Derecho Privado Obligaciones, Tomo III, Buenos Aires, Ed. Hammurabi, 2007, pag. 541).</w:t>
      </w:r>
    </w:p>
    <w:p>
      <w:pPr>
        <w:pStyle w:val="[Normal]"/>
        <w:spacing w:line="360" w:lineRule="auto"/>
        <w:ind w:firstLine="1134"/>
        <w:jc w:val="both"/>
        <w:rPr>
          <w:color w:val="000000"/>
          <w:lang w:val="es-AR" w:eastAsia="es-AR" w:bidi="es-AR"/>
        </w:rPr>
      </w:pPr>
      <w:r>
        <w:rPr>
          <w:lang w:val="es-AR" w:eastAsia="es-AR" w:bidi="es-AR"/>
        </w:rPr>
        <w:t xml:space="preserve">Y es evidente que en la especie dados los términos de la demanda y documental acompañada, tal definición se abastece con simples cálculos o cotejos documentales, sin que resulte menester abrir una investigación de hecho para determinar el momento exacto del pago o los pagos parciales realizados por la demandada, lo que excedería el análisis preliminar de admisibilidad para que proceda el despacho de la ejecución</w:t>
      </w:r>
      <w:r>
        <w:rPr>
          <w:b/>
          <w:lang w:val="es-AR" w:eastAsia="es-AR" w:bidi="es-AR"/>
        </w:rPr>
        <w:t xml:space="preserve">.</w:t>
      </w:r>
      <w:r>
        <w:rPr>
          <w:lang w:val="es-AR" w:eastAsia="es-AR" w:bidi="es-AR"/>
        </w:rPr>
        <w:t xml:space="preserve"> El</w:t>
      </w:r>
      <w:r>
        <w:rPr>
          <w:color w:val="000000"/>
          <w:lang w:val="es-AR" w:eastAsia="es-AR" w:bidi="es-AR"/>
        </w:rPr>
        <w:t xml:space="preserve"> ejecutante tiene la carga de precisar todas aquellas circunstancias fácticas y jurídicas que resulten condicionantes de los requisitos de viabilidad del cobro ejecutivo y uno de ellos es el referido carácter líquido o fácilmente liquidable de la deuda perseguida.</w:t>
      </w:r>
    </w:p>
    <w:p>
      <w:pPr>
        <w:pStyle w:val="[Normal]"/>
        <w:spacing w:line="360" w:lineRule="auto"/>
        <w:ind w:firstLine="1134"/>
        <w:jc w:val="both"/>
        <w:rPr>
          <w:i/>
          <w:lang w:val="es-AR" w:eastAsia="es-AR" w:bidi="es-AR"/>
        </w:rPr>
      </w:pPr>
      <w:r>
        <w:rPr>
          <w:color w:val="000000"/>
          <w:lang w:val="es-AR" w:eastAsia="es-AR" w:bidi="es-AR"/>
        </w:rPr>
        <w:t xml:space="preserve">Así, luce en el escrito de inicio el siguiente relato de los hechos: </w:t>
      </w:r>
      <w:r>
        <w:rPr>
          <w:i/>
          <w:color w:val="000000"/>
          <w:lang w:val="es-AR" w:eastAsia="es-AR" w:bidi="es-AR"/>
        </w:rPr>
        <w:t xml:space="preserve">"...El monto demandado surge de las compras de bienes y/o mercaderías que el demandado realizó, operaciones que se documentaron con la firma de dos (2) solicitudes de préstamo y dos (2) pagarés a la vista sin protesto de fechas 10/10/2017 y 14/03//2018, suscriptos a favor de mi poderdante, uno por la suma de pesos OCHO MIL NOVENTA Y NUEVE C/99/100 ($8.099,99) y el otro por la suma de pesos TRECE MIL TREINTA Y CINCO ($ 13.035), respectivamente, importes que se comprometió a cancelar el día de sus presentaciones a cobro".</w:t>
      </w:r>
      <w:r>
        <w:rPr>
          <w:i/>
          <w:lang w:val="es-AR" w:eastAsia="es-AR" w:bidi="es-AR"/>
        </w:rPr>
        <w:t xml:space="preserve"> ..."Dichos documentos fueron presentados a su cobro en el domicilio indicado a tal fin, el día 15/03/19 y no fueron cancelados por la parte demandada, motivo por el cual se recurre a V.S. a fin de obtener lo que por derecho corresponde."</w:t>
      </w:r>
    </w:p>
    <w:p>
      <w:pPr>
        <w:pStyle w:val="[Normal]"/>
        <w:spacing w:line="360" w:lineRule="auto"/>
        <w:ind w:firstLine="1134"/>
        <w:jc w:val="both"/>
        <w:rPr>
          <w:lang w:val="es-AR" w:eastAsia="es-AR" w:bidi="es-AR"/>
        </w:rPr>
      </w:pPr>
      <w:r>
        <w:rPr>
          <w:lang w:val="es-AR" w:eastAsia="es-AR" w:bidi="es-AR"/>
        </w:rPr>
        <w:t xml:space="preserve">Es decir, la demandada solicitó: a) $ 6.498,99 a pagar en 12 cuotas mensuales iguales pactándose una tasa de interés del 24% mensual, que resulta en la suma de $ 1.601 al aplicar aquella en el plazo de la operación, totalizando la cantidad consignada en el pagaré de $ 8,099,99. Así, el capital dividido por 12 -cantidad de meses- da $ 541,58 y los intereses compensatorios, también divididos por el mismo plazo, $ 133,41, esto es el monto de $675 de cada cuota acordada en los términos que figuran en el documento identificado N° B 140-49279 adjuntada como documental integradora del título ejecutivo. Y, b) $ 9.999 a pagar en 15 cuotas mensuales iguales pactándose una tasa de interés del 24% mensual, que resulta en la suma de $ 3.036 al aplicar aquella en el plazo de la operación, totalizando la cantidad consignada en el pagaré de $ 13.035. Así, el capital dividido por 15 -cantidad de meses- da $ 666,60 y los intereses compensatorios, también divididos por el mismo plazo, $ 202,40, esto es el monto de $869 de cada cuota acordada en los términos que figuran en el documento identificado N° B 127-160079 adjuntada como documental integradora del título ejecutivo.</w:t>
      </w:r>
    </w:p>
    <w:p>
      <w:pPr>
        <w:pStyle w:val="[Normal]"/>
        <w:spacing w:line="360" w:lineRule="auto"/>
        <w:ind w:firstLine="1134"/>
        <w:jc w:val="both"/>
        <w:rPr>
          <w:lang w:val="es-AR" w:eastAsia="es-AR" w:bidi="es-AR"/>
        </w:rPr>
      </w:pPr>
      <w:r>
        <w:rPr>
          <w:lang w:val="es-AR" w:eastAsia="es-AR" w:bidi="es-AR"/>
        </w:rPr>
        <w:t xml:space="preserve">Como se aprecia, es un cálculo sencillo discriminar la porción de capital y de intereses por cuota. Se indican las oportunidades en que los pagos debieron ser realizados, en el primer caso mensualmente desde OCTUBRE de 2017 a SEPTIEMBRE de 2018, totalizando 12 cuotas- y en el segundo caso desde MARZO DE 2018 A MAYO DE 2019, totalizando 15 cuotas, el momento en que se habría incurrido en mora por incumplimiento, reclamándose el total de las cuotas adeudadas,</w:t>
      </w:r>
      <w:r>
        <w:rPr>
          <w:b/>
          <w:lang w:val="es-AR" w:eastAsia="es-AR" w:bidi="es-AR"/>
        </w:rPr>
        <w:t xml:space="preserve"> </w:t>
      </w:r>
      <w:r>
        <w:rPr>
          <w:lang w:val="es-AR" w:eastAsia="es-AR" w:bidi="es-AR"/>
        </w:rPr>
        <w:t xml:space="preserve">y por el monto total que figura en los dos pagares, cuyos créditos se encuentran vencidos al iniciar la presente acción ejecutiva 10/3/2020 (ver escrito de inicio) y que ascienden a la suma de $ 21.134,99 ( $8.099,99 y $13.035), monto total por el que se demanda. </w:t>
      </w:r>
    </w:p>
    <w:p>
      <w:pPr>
        <w:pStyle w:val="[Normal]"/>
        <w:spacing w:line="360" w:lineRule="auto"/>
        <w:ind w:firstLine="1134"/>
        <w:jc w:val="both"/>
        <w:rPr>
          <w:lang w:val="es-AR" w:eastAsia="es-AR" w:bidi="es-AR"/>
        </w:rPr>
      </w:pPr>
      <w:r>
        <w:rPr>
          <w:lang w:val="es-AR" w:eastAsia="es-AR" w:bidi="es-AR"/>
        </w:rPr>
        <w:t xml:space="preserve">Se abastece entonces el requisito relativo al carácter líquido o fácilmente liquidable de la deuda, ineludible para tener al título en ejecución como hábil, por fuera de que en su oportunidad se examine la procedencia o no de los intereses solicitados y el cálculo respectivo.</w:t>
      </w:r>
    </w:p>
    <w:p>
      <w:pPr>
        <w:pStyle w:val="[Normal]"/>
        <w:spacing w:line="360" w:lineRule="auto"/>
        <w:ind w:firstLine="1134"/>
        <w:jc w:val="both"/>
        <w:rPr>
          <w:lang w:val="es-AR" w:eastAsia="es-AR" w:bidi="es-AR"/>
        </w:rPr>
      </w:pPr>
      <w:r>
        <w:rPr>
          <w:lang w:val="es-AR" w:eastAsia="es-AR" w:bidi="es-AR"/>
        </w:rPr>
        <w:t xml:space="preserve">Es que, "</w:t>
      </w:r>
      <w:r>
        <w:rPr>
          <w:i/>
          <w:lang w:val="es-AR" w:eastAsia="es-AR" w:bidi="es-AR"/>
        </w:rPr>
        <w:t xml:space="preserve">...en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autónomamente, satisface las exigencias legales prescriptas en el estatuto del consumidor, podrá dar curso a la ejecución. Ello, claro está, sin desmedro del derecho del ejecutado de articular defensas, incluso centradas en el mencionado art. 36, tendientes a neutralizar la procedencia de la acción...</w:t>
      </w:r>
      <w:r>
        <w:rPr>
          <w:lang w:val="es-AR" w:eastAsia="es-AR" w:bidi="es-AR"/>
        </w:rPr>
        <w:t xml:space="preserve">" ( SCBA. c: 121.684 cit.).</w:t>
      </w:r>
    </w:p>
    <w:p>
      <w:pPr>
        <w:pStyle w:val="[Normal]"/>
        <w:spacing w:line="360" w:lineRule="auto"/>
        <w:ind w:firstLine="1134"/>
        <w:jc w:val="both"/>
        <w:rPr>
          <w:lang w:val="es-AR" w:eastAsia="es-AR" w:bidi="es-AR"/>
        </w:rPr>
      </w:pPr>
      <w:r>
        <w:rPr>
          <w:color w:val="000000"/>
          <w:lang w:val="es-AR" w:eastAsia="es-AR" w:bidi="es-AR"/>
        </w:rPr>
        <w:t xml:space="preserve">En el caso, de las postulaciones de la parte y de la prueba de los hechos relativos al objeto de la litis surgen las circunstancias fácticas vinculadas a los requisitos de procedencia del derecho pretendido, debiendo el juez en consecuencia despachar la ejecución en tanto la pretensión ejecutiva cumple con las condiciones que lo tornan viable (doctr. a contrario sensu esta Cám. causa N° 3971 RSD 119/2020).</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Señores Jueces</w:t>
      </w:r>
      <w:r>
        <w:rPr>
          <w:color w:val="000000"/>
          <w:lang w:val="es-AR" w:eastAsia="es-AR" w:bidi="es-AR"/>
        </w:rPr>
        <w:t xml:space="preserve"> Roberto Degleue y Graciela Scaraffia </w:t>
      </w:r>
      <w:r>
        <w:rPr>
          <w:lang w:val="es-AR" w:eastAsia="es-AR" w:bidi="es-AR"/>
        </w:rPr>
        <w:t xml:space="preserve">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decisorio apelado, disponiendo que se de curso a la ejecución incoada (arts. 518, 421 y ccs. del CPCC).</w:t>
      </w:r>
    </w:p>
    <w:p>
      <w:pPr>
        <w:pStyle w:val="[Normal]"/>
        <w:spacing w:line="360" w:lineRule="auto"/>
        <w:ind w:firstLine="1134"/>
        <w:jc w:val="both"/>
        <w:rPr>
          <w:lang w:val="es-AR" w:eastAsia="es-AR" w:bidi="es-AR"/>
        </w:rPr>
      </w:pPr>
      <w:r>
        <w:rPr>
          <w:lang w:val="es-AR" w:eastAsia="es-AR" w:bidi="es-AR"/>
        </w:rPr>
        <w:t xml:space="preserve">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señores Jueces </w:t>
      </w:r>
      <w:r>
        <w:rPr>
          <w:color w:val="000000"/>
          <w:lang w:val="es-AR" w:eastAsia="es-AR" w:bidi="es-AR"/>
        </w:rPr>
        <w:t xml:space="preserve">ROBERTO M.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decisorio apelado, disponiendo que se de curso a la ejecución incoada (arts. 518, 421 y ccs. del CPCC).</w:t>
      </w:r>
    </w:p>
    <w:p>
      <w:pPr>
        <w:pStyle w:val="[Normal]"/>
        <w:spacing w:line="360" w:lineRule="auto"/>
        <w:ind w:firstLine="1134"/>
        <w:jc w:val="both"/>
        <w:rPr>
          <w:lang w:val="es-AR" w:eastAsia="es-AR" w:bidi="es-AR"/>
        </w:rPr>
      </w:pPr>
      <w:r>
        <w:rPr>
          <w:lang w:val="es-AR" w:eastAsia="es-AR" w:bidi="es-AR"/>
        </w:rPr>
        <w:t xml:space="preserve">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rPr>
          <w:color w:val="000000"/>
          <w:lang w:val="es-AR" w:eastAsia="es-AR" w:bidi="es-AR"/>
        </w:rPr>
      </w:pPr>
      <w:r>
        <w:rPr>
          <w:color w:val="000000"/>
          <w:lang w:val="es-AR" w:eastAsia="es-AR" w:bidi="es-AR"/>
        </w:rPr>
        <w:t xml:space="preserve">Regístrese. Notifíquese personalmente o electrónicamente a las partes (Ac. 3845 SCBA) remitiéndose copia digital de la presente sentencia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rPr>
          <w:color w:val="000000"/>
          <w:lang w:val="es-AR" w:eastAsia="es-AR" w:bidi="es-AR"/>
        </w:rPr>
        <w:t xml:space="preserve">27216012491@notificaciones.scba.gov.ar</w:t>
      </w: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10:10:28 -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10:14:54 -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10:18:25 -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11:10:21 -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27216012491@notificaciones.scba.gov.ar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‰7U")è%%fsèŠ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235302090005057083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3974 - 20 - PARDO S.A.  C/ LARRABURU HECTOR DANIEL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‰7U")è%%fsèŠ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235302090005057083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