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19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105/112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marzo  de </w:t>
      </w:r>
      <w:r>
        <w:rPr>
          <w:color w:val="000000"/>
          <w:lang w:val="es-AR" w:eastAsia="es-AR" w:bidi="es-AR"/>
        </w:rPr>
        <w:t xml:space="preserve"> 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4015-20</w:t>
      </w:r>
      <w:r>
        <w:rPr>
          <w:lang w:val="es-AR" w:eastAsia="es-AR" w:bidi="es-AR"/>
        </w:rPr>
        <w:t xml:space="preserve"> caratulada </w:t>
      </w:r>
      <w:r>
        <w:rPr>
          <w:b/>
          <w:lang w:val="es-AR" w:eastAsia="es-AR" w:bidi="es-AR"/>
        </w:rPr>
        <w:t xml:space="preserve">"</w:t>
      </w:r>
      <w:r>
        <w:rPr>
          <w:b/>
          <w:color w:val="000000"/>
          <w:lang w:val="es-AR" w:eastAsia="es-AR" w:bidi="es-AR"/>
        </w:rPr>
        <w:t xml:space="preserve">LEZCANO CLAUDIO ANDRES Y OTRO/A C/ MONTAÑOS FEDERICO NICOLAS Y OTRO/A S/ DAÑOS Y PERJ.AUTOM. C/LES. O MUERTE (EXC.ESTADO)</w:t>
      </w:r>
      <w:r>
        <w:rPr>
          <w:b/>
          <w:lang w:val="es-AR" w:eastAsia="es-AR" w:bidi="es-AR"/>
        </w:rPr>
        <w:t xml:space="preserve">"</w:t>
      </w:r>
      <w:r>
        <w:rPr>
          <w:lang w:val="es-AR" w:eastAsia="es-AR" w:bidi="es-AR"/>
        </w:rPr>
        <w:t xml:space="preserve">, Expte. N° 83848 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Dres.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La señora Jueza de la anterior instancia falló en la presente, haciendo lugar a la demanda promovida por el Sr. Claudio Andrés Lezcano y la Sra. Paola Vanesa Carranza, condenado a la parte demandada y la citada en garantía en la medida de su seguro a abonar a los actores la suma de</w:t>
      </w:r>
      <w:r>
        <w:rPr>
          <w:b/>
          <w:lang w:val="es-AR" w:eastAsia="es-AR" w:bidi="es-AR"/>
        </w:rPr>
        <w:t xml:space="preserve"> </w:t>
      </w:r>
      <w:r>
        <w:rPr>
          <w:lang w:val="es-AR" w:eastAsia="es-AR" w:bidi="es-AR"/>
        </w:rPr>
        <w:t xml:space="preserve">novecientos cincuenta y cuatro mil setecientos ochenta y cinco pesos  ($ 954.785.-), ordenando</w:t>
      </w:r>
      <w:r>
        <w:rPr>
          <w:sz w:val="28"/>
          <w:lang w:val="es-AR" w:eastAsia="es-AR" w:bidi="es-AR"/>
        </w:rPr>
        <w:t xml:space="preserve"> </w:t>
      </w:r>
      <w:r>
        <w:rPr>
          <w:lang w:val="es-AR" w:eastAsia="es-AR" w:bidi="es-AR"/>
        </w:rPr>
        <w:t xml:space="preserve">la deducción dispuesta en el considerando VI, en la etapa de ejecución en caso de corresponder</w:t>
      </w:r>
      <w:r>
        <w:rPr>
          <w:sz w:val="28"/>
          <w:lang w:val="es-AR" w:eastAsia="es-AR" w:bidi="es-AR"/>
        </w:rPr>
        <w:t xml:space="preserve">, </w:t>
      </w:r>
      <w:r>
        <w:rPr>
          <w:lang w:val="es-AR" w:eastAsia="es-AR" w:bidi="es-AR"/>
        </w:rPr>
        <w:t xml:space="preserve">imponiendo las costas a la parte vencida y difiriendo la regulación de honorarios hasta que se apruebe la liquidación.</w:t>
      </w:r>
    </w:p>
    <w:p>
      <w:pPr>
        <w:pStyle w:val="[Normal]"/>
        <w:spacing w:line="360" w:lineRule="auto"/>
        <w:ind w:firstLine="1134"/>
        <w:jc w:val="both"/>
        <w:rPr>
          <w:lang w:val="es-AR" w:eastAsia="es-AR" w:bidi="es-AR"/>
        </w:rPr>
      </w:pPr>
      <w:r>
        <w:rPr>
          <w:lang w:val="es-AR" w:eastAsia="es-AR" w:bidi="es-AR"/>
        </w:rPr>
        <w:t xml:space="preserve">En fecha 31/7/2020 apeló la parte actora, que fundó su recurso mediante la presentación electrónica de fecha 3/9/2020.</w:t>
      </w:r>
    </w:p>
    <w:p>
      <w:pPr>
        <w:pStyle w:val="[Normal]"/>
        <w:spacing w:line="360" w:lineRule="auto"/>
        <w:ind w:firstLine="1134"/>
        <w:jc w:val="both"/>
        <w:rPr>
          <w:rStyle w:val="U"/>
          <w:u w:val="none"/>
          <w:lang w:val="es-AR" w:eastAsia="es-AR" w:bidi="es-AR"/>
        </w:rPr>
      </w:pPr>
      <w:r>
        <w:rPr>
          <w:lang w:val="es-AR" w:eastAsia="es-AR" w:bidi="es-AR"/>
        </w:rPr>
        <w:t xml:space="preserve">Se agravia en principio el apelante de la </w:t>
      </w:r>
      <w:r>
        <w:rPr>
          <w:rStyle w:val="U"/>
          <w:u w:val="none"/>
          <w:lang w:val="es-AR" w:eastAsia="es-AR" w:bidi="es-AR"/>
        </w:rPr>
        <w:t xml:space="preserve">cuantificación del rubro daños (incapacidad sobreviniente) en relación al señor Claudio Andrés Lezcano.</w:t>
      </w:r>
    </w:p>
    <w:p>
      <w:pPr>
        <w:pStyle w:val="[Normal]"/>
        <w:spacing w:line="360" w:lineRule="auto"/>
        <w:ind w:firstLine="1134"/>
        <w:jc w:val="both"/>
        <w:rPr>
          <w:lang w:val="es-AR" w:eastAsia="es-AR" w:bidi="es-AR"/>
        </w:rPr>
      </w:pPr>
      <w:r>
        <w:rPr>
          <w:lang w:val="es-AR" w:eastAsia="es-AR" w:bidi="es-AR"/>
        </w:rPr>
        <w:t xml:space="preserve">Sostiene que la jueza de la anterior instancia hizo</w:t>
      </w:r>
      <w:r>
        <w:rPr>
          <w:lang w:val="es-AR" w:eastAsia="es-AR" w:bidi="es-AR"/>
        </w:rPr>
        <w:t xml:space="preserve"> lugar a dicho rubro, fijando la suma de $390.000, luego de ponderar las diversas variables probadas en la causa, como son la edad del recurrente: 36 años al momento del siniestro, los ingresos demostrados ($36.000 mensuales), las lesiones sufridas (estimadas por el perito en un 22,32% de incapacidad permanente), el tiempo de recuperación, la afectación desde el punto de vista social, pero no dando al menos una pauta mínima, ni tampoco un indicio de cómo arribó a la determinación de dicho monto.</w:t>
      </w:r>
    </w:p>
    <w:p>
      <w:pPr>
        <w:pStyle w:val="[Normal]"/>
        <w:spacing w:line="360" w:lineRule="auto"/>
        <w:ind w:firstLine="1134"/>
        <w:jc w:val="both"/>
        <w:rPr>
          <w:lang w:val="es-AR" w:eastAsia="es-AR" w:bidi="es-AR"/>
        </w:rPr>
      </w:pPr>
      <w:r>
        <w:rPr>
          <w:lang w:val="es-AR" w:eastAsia="es-AR" w:bidi="es-AR"/>
        </w:rPr>
        <w:t xml:space="preserve">Cita los fundamentos expuestos en el fallo -que considera erróneos- </w:t>
      </w:r>
      <w:r>
        <w:rPr>
          <w:lang w:val="es-AR" w:eastAsia="es-AR" w:bidi="es-AR"/>
        </w:rPr>
        <w:t xml:space="preserve">deduciendo entonces que la sentencia apelada no guarda relación con la legislación vigente, con los precedentes de este Tribunal, ni con la jurisprudencia de los juzgados de primera instancia departamental en la materia.</w:t>
      </w:r>
    </w:p>
    <w:p>
      <w:pPr>
        <w:pStyle w:val="[Normal]"/>
        <w:spacing w:line="360" w:lineRule="auto"/>
        <w:ind w:firstLine="1134"/>
        <w:jc w:val="both"/>
        <w:rPr>
          <w:lang w:val="es-AR" w:eastAsia="es-AR" w:bidi="es-AR"/>
        </w:rPr>
      </w:pPr>
      <w:r>
        <w:rPr>
          <w:lang w:val="es-AR" w:eastAsia="es-AR" w:bidi="es-AR"/>
        </w:rPr>
        <w:t xml:space="preserve">Se queja asimismo del descuento del 3% efectuado </w:t>
      </w:r>
      <w:r>
        <w:rPr>
          <w:lang w:val="es-AR" w:eastAsia="es-AR" w:bidi="es-AR"/>
        </w:rPr>
        <w:t xml:space="preserve">de la incapacidad informada por el perito médico en relación a la fractura occipital sin complicaciones, en razón de que el actor no llevaba casco protector puesto, dado que no se demostró por ningún medio de prueba que dicho elemento en un siniestro de la magnitud del de autos, hubiera tenido repercusión en la producción o agravamiento de las lesiones.</w:t>
      </w:r>
    </w:p>
    <w:p>
      <w:pPr>
        <w:pStyle w:val="[Normal]"/>
        <w:spacing w:line="360" w:lineRule="auto"/>
        <w:ind w:firstLine="1134"/>
        <w:jc w:val="both"/>
        <w:rPr>
          <w:lang w:val="es-AR" w:eastAsia="es-AR" w:bidi="es-AR"/>
        </w:rPr>
      </w:pPr>
      <w:r>
        <w:rPr>
          <w:lang w:val="es-AR" w:eastAsia="es-AR" w:bidi="es-AR"/>
        </w:rPr>
        <w:t xml:space="preserve">Cita antecedentes doctrinarios y jurisprudenciales en apoyo de su postura.</w:t>
      </w:r>
    </w:p>
    <w:p>
      <w:pPr>
        <w:pStyle w:val="[Normal]"/>
        <w:spacing w:line="360" w:lineRule="auto"/>
        <w:ind w:firstLine="1134"/>
        <w:jc w:val="both"/>
        <w:rPr>
          <w:lang w:val="es-AR" w:eastAsia="es-AR" w:bidi="es-AR"/>
        </w:rPr>
      </w:pPr>
      <w:r>
        <w:rPr>
          <w:lang w:val="es-AR" w:eastAsia="es-AR" w:bidi="es-AR"/>
        </w:rPr>
        <w:t xml:space="preserve">Solicita se modifique el monto del rubro otorgado en primera instancia y haga lugar al mismo por la suma de $ 2.261.982,28. </w:t>
      </w:r>
    </w:p>
    <w:p>
      <w:pPr>
        <w:pStyle w:val="[Normal]"/>
        <w:spacing w:line="360" w:lineRule="auto"/>
        <w:ind w:firstLine="1134"/>
        <w:jc w:val="both"/>
        <w:rPr>
          <w:lang w:val="es-AR" w:eastAsia="es-AR" w:bidi="es-AR"/>
        </w:rPr>
      </w:pPr>
      <w:r>
        <w:rPr>
          <w:lang w:val="es-AR" w:eastAsia="es-AR" w:bidi="es-AR"/>
        </w:rPr>
        <w:t xml:space="preserve">Se agravia seguidamente de la cuantificacion del rubro “Gastos terapéuticos, médicos y colaterales”. Afirma que el</w:t>
      </w:r>
      <w:r>
        <w:rPr>
          <w:lang w:val="es-AR" w:eastAsia="es-AR" w:bidi="es-AR"/>
        </w:rPr>
        <w:t xml:space="preserve"> desarrollo del presente rubro parte de un error  y es el relativo a que el siniestro de autos, según la jueza anterior fue atendido por la ART, de modo que consideró aquellas erogaciones que pudo sufragar mas allá de dicha cobertura.</w:t>
      </w:r>
    </w:p>
    <w:p>
      <w:pPr>
        <w:pStyle w:val="[Normal]"/>
        <w:spacing w:line="360" w:lineRule="auto"/>
        <w:ind w:firstLine="1134"/>
        <w:jc w:val="both"/>
        <w:rPr>
          <w:lang w:val="es-AR" w:eastAsia="es-AR" w:bidi="es-AR"/>
        </w:rPr>
      </w:pPr>
      <w:r>
        <w:rPr>
          <w:lang w:val="es-AR" w:eastAsia="es-AR" w:bidi="es-AR"/>
        </w:rPr>
        <w:t xml:space="preserve">Aclara que si bien en un primer momento, se le dio intervención a Swiss Medical ART S.A, por ser la que amparaba al actor por su trabajo en relación de dependencia con Urquiza Combustibles S.A, la misma rechazó el siniestro puesto que no se trató de un accidente </w:t>
      </w:r>
      <w:r>
        <w:rPr>
          <w:i/>
          <w:lang w:val="es-AR" w:eastAsia="es-AR" w:bidi="es-AR"/>
        </w:rPr>
        <w:t xml:space="preserve">in itínere, </w:t>
      </w:r>
      <w:r>
        <w:rPr>
          <w:lang w:val="es-AR" w:eastAsia="es-AR" w:bidi="es-AR"/>
        </w:rPr>
        <w:t xml:space="preserve">por lo que resulta incomprensible que la jueza de grado haya tenido por probado este extremo, teniendo en cuenta lo denunciado por el actor y la falta de actividad probatoria del demandado y citada en garantía en dicho aspecto.</w:t>
      </w:r>
    </w:p>
    <w:p>
      <w:pPr>
        <w:pStyle w:val="[Normal]"/>
        <w:spacing w:line="360" w:lineRule="auto"/>
        <w:ind w:firstLine="1134"/>
        <w:jc w:val="both"/>
        <w:rPr>
          <w:lang w:val="es-AR" w:eastAsia="es-AR" w:bidi="es-AR"/>
        </w:rPr>
      </w:pPr>
      <w:r>
        <w:rPr>
          <w:lang w:val="es-AR" w:eastAsia="es-AR" w:bidi="es-AR"/>
        </w:rPr>
        <w:t xml:space="preserve">Solicita se agregue documental en los términos del art. 255 inc. 3) del CPCC en la que se ilustra el rechazo de la cobertura por no constituir accidente de trabajo y aduciendo que el Sr. Lezcano desconocía el texto de la misma al interponer la demanda y durante el proceso de primera instancia, y le fue proporcionada recientemente una copia de la misma por el empleador, domiciliado en la localidad de Urquiza. </w:t>
      </w:r>
    </w:p>
    <w:p>
      <w:pPr>
        <w:pStyle w:val="[Normal]"/>
        <w:spacing w:line="360" w:lineRule="auto"/>
        <w:ind w:firstLine="1134"/>
        <w:jc w:val="both"/>
        <w:rPr>
          <w:lang w:val="es-AR" w:eastAsia="es-AR" w:bidi="es-AR"/>
        </w:rPr>
      </w:pPr>
      <w:r>
        <w:rPr>
          <w:lang w:val="es-AR" w:eastAsia="es-AR" w:bidi="es-AR"/>
        </w:rPr>
        <w:t xml:space="preserve">Manifiesta que la cifra otorgada en la anterior instancia, en nada resarce los gastos médicos que debió soportar su parte y máxime el grave cuadro de salud por el que debió transitar, permaneciendo varios días internado, con múltiples fracturas y lesiones, medicación, calmantes y tratamientos de rehabilitación, más los gastos de traslado hacia los centros médicos, sumados a la utilización de remises para ello.</w:t>
      </w:r>
    </w:p>
    <w:p>
      <w:pPr>
        <w:pStyle w:val="[Normal]"/>
        <w:spacing w:line="360" w:lineRule="auto"/>
        <w:ind w:firstLine="1134"/>
        <w:jc w:val="both"/>
        <w:rPr>
          <w:lang w:val="es-AR" w:eastAsia="es-AR" w:bidi="es-AR"/>
        </w:rPr>
      </w:pPr>
      <w:r>
        <w:rPr>
          <w:lang w:val="es-AR" w:eastAsia="es-AR" w:bidi="es-AR"/>
        </w:rPr>
        <w:t xml:space="preserve">Continúa su crítica afirmando que la suma otorgada por el "Daño no patrimonial" </w:t>
      </w:r>
      <w:r>
        <w:rPr>
          <w:lang w:val="es-AR" w:eastAsia="es-AR" w:bidi="es-AR"/>
        </w:rPr>
        <w:t xml:space="preserve">resulta exigua y no se condice con las probanzas producidas en la presente, habiéndose soslayado los padecimientos de orden espiritual sufridos por el actor, adunados al plazo de convalecencia y la mortificación de espíritu que cualquier siniestro causa a una persona. </w:t>
      </w:r>
    </w:p>
    <w:p>
      <w:pPr>
        <w:pStyle w:val="[Normal]"/>
        <w:spacing w:line="360" w:lineRule="auto"/>
        <w:ind w:firstLine="1134"/>
        <w:jc w:val="both"/>
        <w:rPr>
          <w:lang w:val="es-AR" w:eastAsia="es-AR" w:bidi="es-AR"/>
        </w:rPr>
      </w:pPr>
      <w:r>
        <w:rPr>
          <w:lang w:val="es-AR" w:eastAsia="es-AR" w:bidi="es-AR"/>
        </w:rPr>
        <w:t xml:space="preserve">Respecto de la suma fijada a favor de la señora Paola Vanesa Carranza por el rubro "Incapacidad sobreviniente" </w:t>
      </w:r>
      <w:r>
        <w:rPr>
          <w:lang w:val="es-AR" w:eastAsia="es-AR" w:bidi="es-AR"/>
        </w:rPr>
        <w:t xml:space="preserve">siguiendo idéntico razonamiento al ensayado en el agravio relacionado al co-actor Lezcano al que remite, solicita se eleve el monto del mismo, teniéndose en cuenta las variables probadas en la causa.</w:t>
      </w:r>
    </w:p>
    <w:p>
      <w:pPr>
        <w:pStyle w:val="[Normal]"/>
        <w:spacing w:line="360" w:lineRule="auto"/>
        <w:ind w:firstLine="1134"/>
        <w:jc w:val="both"/>
        <w:rPr>
          <w:lang w:val="es-AR" w:eastAsia="es-AR" w:bidi="es-AR"/>
        </w:rPr>
      </w:pPr>
      <w:r>
        <w:rPr>
          <w:lang w:val="es-AR" w:eastAsia="es-AR" w:bidi="es-AR"/>
        </w:rPr>
        <w:t xml:space="preserve">Advierte que la cuantificación del rubro “Gastos médicos, farmacia y traslados” para la Sra. Carranza, no reviste lógica ni procedencia alguna, señalando que no surge que la misma haya sido atendida por la Obra Social del Personal de la Sanidad, por lo que peticiona se eleve a la suma de $ 10.000. Y del monto otorgado por el rubro "Daño no Patrimonial",  solicita se eleve considerablemente, por los mismos argumentos vertidos anteriormente. </w:t>
      </w:r>
    </w:p>
    <w:p>
      <w:pPr>
        <w:pStyle w:val="[Normal]"/>
        <w:spacing w:line="360" w:lineRule="auto"/>
        <w:ind w:firstLine="1134"/>
        <w:jc w:val="both"/>
        <w:rPr>
          <w:lang w:val="es-AR" w:eastAsia="es-AR" w:bidi="es-AR"/>
        </w:rPr>
      </w:pPr>
      <w:r>
        <w:rPr>
          <w:lang w:val="es-AR" w:eastAsia="es-AR" w:bidi="es-AR"/>
        </w:rPr>
        <w:t xml:space="preserve">Se agravia finalmente de los intereses fijados, aduciendo que debió aplicarse la tasa que paga el Banco de la Provincia de Buenos Aires en sus operaciones de plazo fijo a treinta días a través del sistema "Banca Internet Provincia" o "B.I.P.", teniendo en cuenta además el contexto de notable inflación.  </w:t>
      </w:r>
    </w:p>
    <w:p>
      <w:pPr>
        <w:pStyle w:val="[Normal]"/>
        <w:spacing w:line="360" w:lineRule="auto"/>
        <w:ind w:firstLine="1134"/>
        <w:jc w:val="both"/>
        <w:rPr>
          <w:lang w:val="es-AR" w:eastAsia="es-AR" w:bidi="es-AR"/>
        </w:rPr>
      </w:pPr>
      <w:r>
        <w:rPr>
          <w:lang w:val="es-AR" w:eastAsia="es-AR" w:bidi="es-AR"/>
        </w:rPr>
        <w:t xml:space="preserve">Peticiona se agregue la documental ofrecida en esta instancia, y previo traslado a la contraria, se modifique la sentencia en lo que fuera materia de agravios, con expresa imposición de costas.</w:t>
      </w:r>
    </w:p>
    <w:p>
      <w:pPr>
        <w:pStyle w:val="[Normal]"/>
        <w:spacing w:line="360" w:lineRule="auto"/>
        <w:ind w:firstLine="1134"/>
        <w:jc w:val="both"/>
        <w:rPr>
          <w:lang w:val="es-AR" w:eastAsia="es-AR" w:bidi="es-AR"/>
        </w:rPr>
      </w:pPr>
      <w:r>
        <w:rPr>
          <w:lang w:val="es-AR" w:eastAsia="es-AR" w:bidi="es-AR"/>
        </w:rPr>
        <w:t xml:space="preserve">A su turno apeló el apoderado de la demandada y la citada en garantía en fecha 10/8/2020, quien expresó sus agravios en el escrito electrónico de fecha 19/9/2020.</w:t>
      </w:r>
    </w:p>
    <w:p>
      <w:pPr>
        <w:pStyle w:val="[Normal]"/>
        <w:spacing w:line="360" w:lineRule="auto"/>
        <w:ind w:firstLine="1134"/>
        <w:jc w:val="both"/>
        <w:rPr>
          <w:lang w:val="es-AR" w:eastAsia="es-AR" w:bidi="es-AR"/>
        </w:rPr>
      </w:pPr>
      <w:r>
        <w:rPr>
          <w:lang w:val="es-AR" w:eastAsia="es-AR" w:bidi="es-AR"/>
        </w:rPr>
        <w:t xml:space="preserve"> Principia su queja el apelante sosteniendo -respecto del señor Lezcano- que al considerar las lesiones sufridas y la culpa de la propia víctima en el agravamiento del daño, la suma otorgada no guarda proporción con la entidad de las lesiones.</w:t>
      </w:r>
    </w:p>
    <w:p>
      <w:pPr>
        <w:pStyle w:val="[Normal]"/>
        <w:spacing w:line="360" w:lineRule="auto"/>
        <w:ind w:firstLine="1134"/>
        <w:jc w:val="both"/>
        <w:rPr>
          <w:rStyle w:val="EM"/>
          <w:lang w:val="es-AR" w:eastAsia="es-AR" w:bidi="es-AR"/>
        </w:rPr>
      </w:pPr>
      <w:r>
        <w:rPr>
          <w:lang w:val="es-AR" w:eastAsia="es-AR" w:bidi="es-AR"/>
        </w:rPr>
        <w:t xml:space="preserve">Señala que la señora jueza a-quo tuvo por acreditado que el actor no llevaba casco protector y no obstante ello, en lugar de determinar una concurrencia de culpas solo se limita a no considerar la fractura del occipital pero nada dice en relación a la lesión cervico-braquial que también debió ser morigerada. Que, así las cosas, recientes estudios realizados en relación a la utilización de uso del caso llegan a la conclusión de que </w:t>
      </w:r>
      <w:r>
        <w:rPr>
          <w:rStyle w:val="EM"/>
          <w:i w:val="off"/>
          <w:lang w:val="es-AR" w:eastAsia="es-AR" w:bidi="es-AR"/>
        </w:rPr>
        <w:t xml:space="preserve">el mismo no sólo reduce en gran medida las lesiones craneales y cerebrales, sino que también contribuye de buen grado a la reducción de lesiones sobre la columna vertebral</w:t>
      </w:r>
      <w:r>
        <w:rPr>
          <w:rStyle w:val="EM"/>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Pone de relieve entonces que yerra la sentenciante al considerar la incidencia de la falta de uso de casco respecto de la lesión craneana sin tener en cuenta la lesión cervical.</w:t>
      </w:r>
    </w:p>
    <w:p>
      <w:pPr>
        <w:pStyle w:val="[Normal]"/>
        <w:spacing w:line="360" w:lineRule="auto"/>
        <w:ind w:firstLine="1134"/>
        <w:jc w:val="both"/>
        <w:rPr>
          <w:lang w:val="es-AR" w:eastAsia="es-AR" w:bidi="es-AR"/>
        </w:rPr>
      </w:pPr>
      <w:r>
        <w:rPr>
          <w:lang w:val="es-AR" w:eastAsia="es-AR" w:bidi="es-AR"/>
        </w:rPr>
        <w:t xml:space="preserve">En relación a la co-actora -Sra. Paola Vanesa Carranza- dice que comete un error la jueza de grado en la cuantificación del daño, ya que en primer término son aplicables las anteriores consideraciones en cuanto a la falta de casco protector, y es por ello que la misma debe cargar con las consecuencias de su negligencia y reducirse en consecuencia la suma otorgada en su justa medida.</w:t>
      </w:r>
    </w:p>
    <w:p>
      <w:pPr>
        <w:pStyle w:val="[Normal]"/>
        <w:keepLines/>
        <w:spacing w:line="360" w:lineRule="auto"/>
        <w:ind w:firstLine="1134"/>
        <w:jc w:val="both"/>
        <w:rPr>
          <w:lang w:val="es-AR" w:eastAsia="es-AR" w:bidi="es-AR"/>
        </w:rPr>
      </w:pPr>
      <w:r>
        <w:rPr>
          <w:lang w:val="es-AR" w:eastAsia="es-AR" w:bidi="es-AR"/>
        </w:rPr>
        <w:t xml:space="preserve">Se agravia seguidamente por cuanto se tiene por acreditado en el fallo anterior que la actora trabaja como enfermera cuando en realidad no existe elemento probatorio en autos que lo avale ni determinación  de ingreso alguno, razón suficiente para desestimar en un todo la cuantificación realizada ya que resulta ser una carga del actor acreditar los ingresos que la reclamante percibía, 	cosa que no ha ocurrido en autos.</w:t>
      </w:r>
    </w:p>
    <w:p>
      <w:pPr>
        <w:pStyle w:val="[Normal]"/>
        <w:spacing w:line="360" w:lineRule="auto"/>
        <w:ind w:firstLine="1134"/>
        <w:jc w:val="both"/>
        <w:rPr>
          <w:lang w:val="es-AR" w:eastAsia="es-AR" w:bidi="es-AR"/>
        </w:rPr>
      </w:pPr>
      <w:r>
        <w:rPr>
          <w:lang w:val="es-AR" w:eastAsia="es-AR" w:bidi="es-AR"/>
        </w:rPr>
        <w:t xml:space="preserve"> Respecto del rubro "Daño no patrimonial", advierte que si bien como reiterada jurisprudencia tiene dicho que la cuantificación del daño moral queda a criterio del prudente arbitrio judicial, entiende que el juez de grado se excedió en la suma otorgada, máxime cuando en autos no se logró acreditar a ciencia cierta los reales ingresos de la actora Carranza, por lo que dicho rubro debe ser íntegramente rechazado o sustancialmente disminuido. </w:t>
      </w:r>
    </w:p>
    <w:p>
      <w:pPr>
        <w:pStyle w:val="[Normal]"/>
        <w:spacing w:line="360" w:lineRule="auto"/>
        <w:ind w:firstLine="1134"/>
        <w:jc w:val="both"/>
        <w:rPr>
          <w:lang w:val="es-AR" w:eastAsia="es-AR" w:bidi="es-AR"/>
        </w:rPr>
      </w:pPr>
      <w:r>
        <w:rPr>
          <w:lang w:val="es-AR" w:eastAsia="es-AR" w:bidi="es-AR"/>
        </w:rPr>
        <w:t xml:space="preserve">Manifiesta finalmente que si bien ha acertado el a-quo al fijar la tasa de interés puro, yerra al aplicarla hasta el día del dictado de la sentencia, esto es el 29/7/2020 y a partir de allí a la tasa pasiva mas alta del Banco de la Provincia de Buenos Aires. Se agravia entonces en atención a que la tasa  pura debió extenderse hasta tanto la sentencia gane firmeza y no como se resuelve hasta la fecha de la misma.</w:t>
      </w:r>
    </w:p>
    <w:p>
      <w:pPr>
        <w:pStyle w:val="[Normal]"/>
        <w:spacing w:line="360" w:lineRule="auto"/>
        <w:ind w:firstLine="1134"/>
        <w:jc w:val="both"/>
        <w:rPr>
          <w:lang w:val="es-AR" w:eastAsia="es-AR" w:bidi="es-AR"/>
        </w:rPr>
      </w:pPr>
      <w:r>
        <w:rPr>
          <w:lang w:val="es-AR" w:eastAsia="es-AR" w:bidi="es-AR"/>
        </w:rPr>
        <w:t xml:space="preserve">Consigna antecedentes doctrinarios y jurisprudenciales que considera de aplicación. Efectúa reserva del Caso Federal y peticiona se rechace la demanda con expresa imposición de costas a la contraria.</w:t>
      </w:r>
    </w:p>
    <w:p>
      <w:pPr>
        <w:pStyle w:val="[Normal]"/>
        <w:spacing w:line="360" w:lineRule="auto"/>
        <w:ind w:firstLine="1134"/>
        <w:jc w:val="both"/>
        <w:rPr>
          <w:lang w:val="es-AR" w:eastAsia="es-AR" w:bidi="es-AR"/>
        </w:rPr>
      </w:pPr>
      <w:r>
        <w:rPr>
          <w:lang w:val="es-AR" w:eastAsia="es-AR" w:bidi="es-AR"/>
        </w:rPr>
        <w:t xml:space="preserve">Conferidos los traslados pertinentes, fueron contestados por las partes en los sendos escritos de fechas 28/9/2020 (actora) y 3/10/2020 (demandada y citada en garantía).</w:t>
      </w:r>
    </w:p>
    <w:p>
      <w:pPr>
        <w:pStyle w:val="[Normal]"/>
        <w:spacing w:line="360" w:lineRule="auto"/>
        <w:ind w:firstLine="1134"/>
        <w:jc w:val="both"/>
        <w:rPr>
          <w:lang w:val="es-AR" w:eastAsia="es-AR" w:bidi="es-AR"/>
        </w:rPr>
      </w:pPr>
      <w:r>
        <w:rPr>
          <w:lang w:val="es-AR" w:eastAsia="es-AR" w:bidi="es-AR"/>
        </w:rPr>
        <w:t xml:space="preserve">En fecha 5/11/2020 se dictó resolución de este Tribunal, haciendo lugar al pedido efectuado por la actora, y en consecuencia ordenando la agregación de la documentación acompañada.</w:t>
      </w:r>
    </w:p>
    <w:p>
      <w:pPr>
        <w:pStyle w:val="[Normal]"/>
        <w:spacing w:line="360" w:lineRule="auto"/>
        <w:ind w:firstLine="1134"/>
        <w:jc w:val="both"/>
        <w:rPr>
          <w:lang w:val="es-AR" w:eastAsia="es-AR" w:bidi="es-AR"/>
        </w:rPr>
      </w:pPr>
      <w:r>
        <w:rPr>
          <w:lang w:val="es-AR" w:eastAsia="es-AR" w:bidi="es-AR"/>
        </w:rPr>
        <w:t xml:space="preserve">En fecha 19/11/2020 se dictó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 tarea ya de resolver las cuestiones traídas a esta Alzada, he de principar por señalar que las cuestiones sobre las que se apoyan las quejas de los apelantes, lo son sobre los montos indemnizatorios, los cuales son puestos en cuestionamiento por ambos recurrentes.</w:t>
      </w:r>
    </w:p>
    <w:p>
      <w:pPr>
        <w:pStyle w:val="[Normal]"/>
        <w:spacing w:line="360" w:lineRule="auto"/>
        <w:ind w:firstLine="1134"/>
        <w:jc w:val="both"/>
        <w:rPr>
          <w:lang w:val="es-AR" w:eastAsia="es-AR" w:bidi="es-AR"/>
        </w:rPr>
      </w:pPr>
      <w:r>
        <w:rPr>
          <w:lang w:val="es-AR" w:eastAsia="es-AR" w:bidi="es-AR"/>
        </w:rPr>
        <w:t xml:space="preserve">Y, comenzando por el tema del no uso del casco protector, esta Alzada viene aplicando invariablemente el criterio según el cual la utilización del elemento de seguridad, presumiblemente como un factor reductor del daño materialmente ocasionado, constituye una circunstancia que habrá de repercutir asimismo en la determinación del daño resarcible, debiendo sustraerse de la extensión del resarcimiento debido a la víctima aquellas consecuencias dañosas que habrían podido evitarse o mitigarse ("el mayor daño") de haberse empleado el aludido elemento protector. </w:t>
      </w:r>
    </w:p>
    <w:p>
      <w:pPr>
        <w:pStyle w:val="[Normal]"/>
        <w:spacing w:line="360" w:lineRule="auto"/>
        <w:ind w:firstLine="1134"/>
        <w:jc w:val="both"/>
        <w:rPr>
          <w:lang w:val="es-AR" w:eastAsia="es-AR" w:bidi="es-AR"/>
        </w:rPr>
      </w:pPr>
      <w:r>
        <w:rPr>
          <w:lang w:val="es-AR" w:eastAsia="es-AR" w:bidi="es-AR"/>
        </w:rPr>
        <w:t xml:space="preserve">Se ha dicho desde aquí en Causa C-1561/95 que "la eventual falta de casco protector en el motociclista, se trata de una circunstancia intermedia normal, sin intervención de factores anómalos, extraordinarios o imprevisibles. No es la causa adecuada del resultado, aún cuando en concreto haya sido una condición necesaria del grado de lesiones, del mismo modo que no puede ser la causa adecuada de un daño, el estacionamiento antirreglamentario de un automotor cuando la infracción no fue determinante del embestimiento sufrido.  Tal entendimiento emanado del Superior Tribunal Provincial ( Cfr causa 102367 Sent 12-02-09 Sum. Juba) expresando </w:t>
      </w:r>
      <w:r>
        <w:rPr>
          <w:i/>
          <w:lang w:val="es-AR" w:eastAsia="es-AR" w:bidi="es-AR"/>
        </w:rPr>
        <w:t xml:space="preserve">"la omisión de casco protector puede incidir sobre la magnitud de las lesiones pero carece de repercusión en la producción del accidente".</w:t>
      </w:r>
    </w:p>
    <w:p>
      <w:pPr>
        <w:pStyle w:val="[Normal]"/>
        <w:spacing w:line="360" w:lineRule="auto"/>
        <w:ind w:firstLine="1134"/>
        <w:jc w:val="both"/>
        <w:rPr>
          <w:lang w:val="es-AR" w:eastAsia="es-AR" w:bidi="es-AR"/>
        </w:rPr>
      </w:pPr>
      <w:r>
        <w:rPr>
          <w:lang w:val="es-AR" w:eastAsia="es-AR" w:bidi="es-AR"/>
        </w:rPr>
        <w:t xml:space="preserve">En ambos accionantes, el experto ha relatado lesiones que han repercutido en la región cervical, y las máximas de experiencia me hacen poder afirmar  que el uso del casco protector morigera este tipo de lesiones o aún más, podrían evitarlas por lo que dicha falta ha tenido una determinación  causal con las lesiones provocadas en ellos, lo que motiva el acogimiento del reproche de la demandada.</w:t>
      </w:r>
    </w:p>
    <w:p>
      <w:pPr>
        <w:pStyle w:val="[Normal]"/>
        <w:spacing w:line="360" w:lineRule="auto"/>
        <w:ind w:firstLine="1134"/>
        <w:jc w:val="both"/>
        <w:rPr>
          <w:lang w:val="es-AR" w:eastAsia="es-AR" w:bidi="es-AR"/>
        </w:rPr>
      </w:pPr>
      <w:r>
        <w:rPr>
          <w:lang w:val="es-AR" w:eastAsia="es-AR" w:bidi="es-AR"/>
        </w:rPr>
        <w:t xml:space="preserve">Entonces la incidencia del porcentaje del daño ocasionado por su omisión de uso se fija desde aquí en el 40%, como invariablemente se ha señalado por esta Alzada (Expte. 3851-20, sent. del 23/7/2020 Registro N°  94  /2020). Lo que ha de reflejarse en el importe dado por este rubro el que se verá disminuido en ese guarismo, para ambos actores.</w:t>
      </w:r>
    </w:p>
    <w:p>
      <w:pPr>
        <w:pStyle w:val="[Normal]"/>
        <w:spacing w:line="360" w:lineRule="auto"/>
        <w:ind w:firstLine="1134"/>
        <w:jc w:val="both"/>
        <w:rPr>
          <w:lang w:val="es-AR" w:eastAsia="es-AR" w:bidi="es-AR"/>
        </w:rPr>
      </w:pPr>
      <w:r>
        <w:rPr>
          <w:lang w:val="es-AR" w:eastAsia="es-AR" w:bidi="es-AR"/>
        </w:rPr>
        <w:t xml:space="preserve">Lo que si he de propiciar es el  acogimiento del agravio expuesto por el apoderado de los actores, en tanto que los valores fijados en sentencia  no cumplen con la manda de que sean fijados a valores mas aproximados al momento de la sentencia.-</w:t>
      </w:r>
    </w:p>
    <w:p>
      <w:pPr>
        <w:pStyle w:val="[Normal]"/>
        <w:spacing w:line="360" w:lineRule="auto"/>
        <w:ind w:firstLine="1134"/>
        <w:jc w:val="both"/>
        <w:rPr>
          <w:lang w:val="es-AR" w:eastAsia="es-AR" w:bidi="es-AR"/>
        </w:rPr>
      </w:pPr>
      <w:r>
        <w:rPr>
          <w:lang w:val="es-AR" w:eastAsia="es-AR" w:bidi="es-AR"/>
        </w:rPr>
        <w:t xml:space="preserve">He tenido oportunidad de expresar al respecto que "</w:t>
      </w:r>
      <w:r>
        <w:rPr>
          <w:i/>
          <w:lang w:val="es-AR" w:eastAsia="es-AR" w:bidi="es-AR"/>
        </w:rPr>
        <w:t xml:space="preserve">En orden a la cuantificación del daño bajo examen, a lo recién expuesto debo agregar que la valoración y cuantificación del daño debe hacerse a la fecha más próxima a la sentencia, porque de esta manera se asegura y resguarda más adecuadamente el principio de la reparación plena... Ahora bien, en todos estos casos la valuación del daño a los fines del resarcimiento, ¿debe hacerse de acuerdo con el día en que aquél fue causado, o con el de la demanda o su notificación, o con el de la sentencia? Para responder correctamente a esta pregunta resulta indispensable no olvidar el concepto mismo de la reparación, que presupone de manera esencial que el responsable satisfaga en principio a la víctima, todo el daño que efectivamente le hubiere causado con su acto, de suerte que ésta obtenga un restablecimiento de su situación patrimonial anterior al acto ilícito. Este criterio de la reparación plena es el que impone como norma general la elección del día de la sentencia, en cuanto más cercano al momento de la reparación real, para fijar el monto de la misma; y nuestra jurisprudencia, muy abundante por cierto, ha ocurrido habitualmente a este procedimiento de determinar el valor de los daños y perjuicios a la fecha del último fallo, sosteniendo que de lo contrario el damnificado no recibiría la indemnización integral a que tiene derecho conforme a los principios del Código Civil´(autores y op. cits, p. 361)</w:t>
      </w:r>
      <w:r>
        <w:rPr>
          <w:lang w:val="es-AR" w:eastAsia="es-AR" w:bidi="es-AR"/>
        </w:rPr>
        <w:t xml:space="preserve">" (SCBA, “Rizzo, Marta contra Guerrero, Rubén Esteban y otro. Resolución de contrato“, 15/07/2015).</w:t>
      </w:r>
    </w:p>
    <w:p>
      <w:pPr>
        <w:pStyle w:val="[Normal]"/>
        <w:spacing w:line="360" w:lineRule="auto"/>
        <w:ind w:firstLine="1134"/>
        <w:jc w:val="both"/>
        <w:rPr>
          <w:lang w:val="es-AR" w:eastAsia="es-AR" w:bidi="es-AR"/>
        </w:rPr>
      </w:pPr>
      <w:r>
        <w:rPr>
          <w:lang w:val="es-AR" w:eastAsia="es-AR" w:bidi="es-AR"/>
        </w:rPr>
        <w:t xml:space="preserve">Asimismo, cabe recordar, en este sentido, que las fórmulas actuariales o baremos constituyen instrumentos que orientan a las partes y a los magistrados para esclarecer la existencia y entidad de la incapacidad laborativa genérica que una persona puede experimentar; pero sus resultados deben necesariamente ser conjugados con otros elementos que brinda la realidad del caso concreto, de persona, tiempo y lugar, para la determinación de la incapacidad específica de la víctima.  Dicho de otro modo, la fórmula no sustituye las concretas cargas probatorias que pesan sobre las partes respecto a los extremos en que se fundan sus pretensiones o defensas.</w:t>
      </w:r>
    </w:p>
    <w:p>
      <w:pPr>
        <w:pStyle w:val="[Normal]"/>
        <w:spacing w:line="360" w:lineRule="auto"/>
        <w:ind w:firstLine="1134"/>
        <w:jc w:val="both"/>
        <w:rPr>
          <w:lang w:val="es-AR" w:eastAsia="es-AR" w:bidi="es-AR"/>
        </w:rPr>
      </w:pPr>
      <w:r>
        <w:rPr>
          <w:lang w:val="es-AR" w:eastAsia="es-AR" w:bidi="es-AR"/>
        </w:rPr>
        <w:t xml:space="preserve">"</w:t>
      </w:r>
      <w:r>
        <w:rPr>
          <w:i/>
          <w:lang w:val="es-AR" w:eastAsia="es-AR" w:bidi="es-AR"/>
        </w:rPr>
        <w:t xml:space="preserve">Aún cuando pueda no ser exigible la acreditación exacta de la utilidad dejada de percibir, resulta al menos necesario que se justifique la labor lucrativa frustrada, lo que se ganaba, las mermas sufridas, el tiempo transcurrido, etc. ya que de admitirse sin esos datos, se estaría otorgando indemnización por simples conjeturas o abstracciones y satisfaciendo un daño hipotético (arts.375 y 384 del Código Procesal)"</w:t>
      </w:r>
      <w:r>
        <w:rPr>
          <w:lang w:val="es-AR" w:eastAsia="es-AR" w:bidi="es-AR"/>
        </w:rPr>
        <w:t xml:space="preserve">. (SCBA, "Rivero, Benjamin Domingo c/ Monardez, Jorge Luis y Otro/a s/ Daños y Perjuicios", 21/03/2017).</w:t>
      </w:r>
    </w:p>
    <w:p>
      <w:pPr>
        <w:pStyle w:val="[Normal]"/>
        <w:spacing w:line="360" w:lineRule="auto"/>
        <w:ind w:firstLine="1134"/>
        <w:jc w:val="both"/>
        <w:rPr>
          <w:lang w:val="es-AR" w:eastAsia="es-AR" w:bidi="es-AR"/>
        </w:rPr>
      </w:pPr>
      <w:r>
        <w:rPr>
          <w:lang w:val="es-AR" w:eastAsia="es-AR" w:bidi="es-AR"/>
        </w:rPr>
        <w:t xml:space="preserve">Es que, </w:t>
      </w:r>
      <w:r>
        <w:rPr>
          <w:i/>
          <w:lang w:val="es-AR" w:eastAsia="es-AR" w:bidi="es-AR"/>
        </w:rPr>
        <w:t xml:space="preserve">"El principio de razonabilidad –o también denominado interdicción de la arbitrariedad- constituye una exigencia imperativa e inexcusable del fundamento adicional de la razón para toda decisión en la</w:t>
      </w:r>
      <w:r>
        <w:rPr>
          <w:lang w:val="es-AR" w:eastAsia="es-AR" w:bidi="es-AR"/>
        </w:rPr>
        <w:t xml:space="preserve"> </w:t>
      </w:r>
      <w:r>
        <w:rPr>
          <w:i/>
          <w:lang w:val="es-AR" w:eastAsia="es-AR" w:bidi="es-AR"/>
        </w:rPr>
        <w:t xml:space="preserve">que el poder se exprese. el Estado de Derecho –propio de la forma republicana de gobierno (art. 1 de la CN.NC.)- únicamente acepta como poder legítimo a aquel que en su ejercicio concreto se presenta como el resultado de una voluntad racional, apoyado en razones justificativas</w:t>
      </w:r>
      <w:r>
        <w:rPr>
          <w:lang w:val="es-AR" w:eastAsia="es-AR" w:bidi="es-AR"/>
        </w:rPr>
        <w:t xml:space="preserve">". En este sentido, el autor reconoce como supuesto típico de actuación o sentencia arbitraria aquella que no exprese los fundamentos de hecho y de derecho que sustentan la decisión adoptada. (Cf. GARCIA DE ENTERRÍA, Eduardo, FERNANDEZ, Tomás Ramón, Curso de Derecho Administrativo I, (Madrid, 2006), Thomson Civitas, pag. 461).</w:t>
      </w:r>
    </w:p>
    <w:p>
      <w:pPr>
        <w:pStyle w:val="[Normal]"/>
        <w:spacing w:line="360" w:lineRule="auto"/>
        <w:ind w:firstLine="1134"/>
        <w:jc w:val="both"/>
        <w:rPr>
          <w:lang w:val="es-AR" w:eastAsia="es-AR" w:bidi="es-AR"/>
        </w:rPr>
      </w:pPr>
      <w:r>
        <w:rPr>
          <w:lang w:val="es-AR" w:eastAsia="es-AR" w:bidi="es-AR"/>
        </w:rPr>
        <w:t xml:space="preserve">Ello así, en relación al Sr. Claudio Andrés Lescano, tomando las variables de edad, ingresos actualizado a noviembre  de 2019, esto es de $36.182,52 (ver contestación de Fs. 118), el porcentaje de incapacidad informado por la pericia de fecha 4/10/2019 (22,32%), y teniendo en cuenta la edad (36), no efectuándose en esta Alzada, valoración por "punto de incapacidad", entiendo que el monto otorgado en primera instancia resulta insuficiente para lograr la reparación integral, por lo cual  propongo al acuerdo su modificación.-</w:t>
      </w:r>
    </w:p>
    <w:p>
      <w:pPr>
        <w:pStyle w:val="[Normal]"/>
        <w:spacing w:line="360" w:lineRule="auto"/>
        <w:ind w:firstLine="1134"/>
        <w:jc w:val="both"/>
        <w:rPr>
          <w:lang w:val="es-AR" w:eastAsia="es-AR" w:bidi="es-AR"/>
        </w:rPr>
      </w:pPr>
      <w:r>
        <w:rPr>
          <w:lang w:val="es-AR" w:eastAsia="es-AR" w:bidi="es-AR"/>
        </w:rPr>
        <w:t xml:space="preserve">Es por ello, que para el Sr. Claudio Lescano, teniendo en cuenta los parámetros que he referido, he de propiciar fijar el monto indemnizatorio del rubro a la suma de $ 1.317.000, de los cuales la demandada y citada en garantía únicamente deberán responder por la suma de $ 790.200 en virtud de la mayor incidencia dañosa que produjo la omisión de uso de casco que se estima en un 40% sobre la totalidad del daño ocasionado (Arts. 1069, 1077, 1083 y Ccs. del Cgo. Civil, art. 165 del C.P.C. y C.).</w:t>
      </w:r>
    </w:p>
    <w:p>
      <w:pPr>
        <w:pStyle w:val="[Normal]"/>
        <w:spacing w:line="360" w:lineRule="auto"/>
        <w:ind w:firstLine="1134"/>
        <w:jc w:val="both"/>
        <w:rPr>
          <w:lang w:val="es-AR" w:eastAsia="es-AR" w:bidi="es-AR"/>
        </w:rPr>
      </w:pPr>
      <w:r>
        <w:rPr>
          <w:lang w:val="es-AR" w:eastAsia="es-AR" w:bidi="es-AR"/>
        </w:rPr>
        <w:t xml:space="preserve"> En relación a la coactora, Paola Vanesa Carranza, también he de propiciar la elevación del rubro en análisis (esto es incapacidad sobreviniente), tomando como referencia la incapacidad establecida en la pericia de fecha 4/10/2019 (14,45%) con base en el monto del salario mínimo, vital y móvil a la fecha de esta sentencia ($20.587,50), tal como también viene sosteniendo esta Alzada invariablemente.</w:t>
      </w:r>
    </w:p>
    <w:p>
      <w:pPr>
        <w:pStyle w:val="[Normal]"/>
        <w:spacing w:line="360" w:lineRule="auto"/>
        <w:ind w:firstLine="1134"/>
        <w:jc w:val="both"/>
        <w:rPr>
          <w:lang w:val="es-AR" w:eastAsia="es-AR" w:bidi="es-AR"/>
        </w:rPr>
      </w:pPr>
      <w:r>
        <w:rPr>
          <w:lang w:val="es-AR" w:eastAsia="es-AR" w:bidi="es-AR"/>
        </w:rPr>
        <w:t xml:space="preserve">Tal información además de ser pública y notoria, se presume conocida por todos en tanto que surge de normativa dictada al efecto por el Consejo Nac. del Empleo Productividad y el Salario M.V.Y M, del Ministerio de Trabajo, Empleo y Seguridad Social, con su correspondiente publicación en el Boletín Oficial, y es el valor consignado en sentencia, por lo que el agravio carece de fundamento (arts. 4 y 5 Cód. C. y C.) (http://servicios.infoleg.gob.ar/infolegInternet/anexos/245000-249999/249538/norma.htm). En este aspecto, cabe señalar que la información que se puede obtener a través de internet (sobre todo cuando se trata de páginas públicas oficiales como ocurre en la especie) puede revestir carácter notorio en virtud de tal circunstancia. Si bien es cierto que un hecho no asume la calidad notorio por la mera circunstancia de que conste en Internet, la divulgación del mismo a través de esta vía, especialmente cuando se trata de sitios web de acceso público, carácter oficial y conocidos para cualquier ciudadano, contribuye de manera superlativa a que el mismo cobre notoriedad y, en virtud de ello, quede exento de prueba. De manera tal que la difusión de un hecho en Internet puede tornarlo en notorio en razón de su llegada masiva, la incorporación de su conocimiento a la sociedad y la confiabilidad de la fuente empleada. En tal caso recurrir a la red podría justificar tal aserto haciendo referencia al sitio web que da cuenta del acaecimiento del hecho o dato de que se trate. En este sentido, Scoles señala que: </w:t>
      </w:r>
      <w:r>
        <w:rPr>
          <w:i/>
          <w:lang w:val="es-AR" w:eastAsia="es-AR" w:bidi="es-AR"/>
        </w:rPr>
        <w:t xml:space="preserve">"una página web oficial del Estado -nacional, provincial o municipal- (sitios."gov") o portales de reconocidos medios periodísticos locales, nacionales o internacionales, podrían ser ejemplos, en principio, de sitios aptos para ser citados en las resoluciones judiciales o invocados por las partes"</w:t>
      </w:r>
      <w:r>
        <w:rPr>
          <w:lang w:val="es-AR" w:eastAsia="es-AR" w:bidi="es-AR"/>
        </w:rPr>
        <w:t xml:space="preserve"> (Scoles, Juan C., Internet, la viralización de la información y los hechos notorios, publicado en Erraius, Temas de Derecho Procesal, Agosto de 2018)".-</w:t>
      </w:r>
    </w:p>
    <w:p>
      <w:pPr>
        <w:pStyle w:val="[Normal]"/>
        <w:spacing w:line="360" w:lineRule="auto"/>
        <w:ind w:firstLine="1134"/>
        <w:jc w:val="both"/>
        <w:rPr>
          <w:lang w:val="es-AR" w:eastAsia="es-AR" w:bidi="es-AR"/>
        </w:rPr>
      </w:pPr>
      <w:r>
        <w:rPr>
          <w:lang w:val="es-AR" w:eastAsia="es-AR" w:bidi="es-AR"/>
        </w:rPr>
        <w:t xml:space="preserve">También considero que no corresponde contemplar incrementos probables del salario, toda vez que no se han producido pruebas concretas que permitan presuponer la variación ascendente futura del ingreso."  </w:t>
      </w:r>
    </w:p>
    <w:p>
      <w:pPr>
        <w:pStyle w:val="[Normal]"/>
        <w:spacing w:line="360" w:lineRule="auto"/>
        <w:ind w:firstLine="1134"/>
        <w:jc w:val="both"/>
        <w:rPr>
          <w:lang w:val="es-AR" w:eastAsia="es-AR" w:bidi="es-AR"/>
        </w:rPr>
      </w:pPr>
      <w:r>
        <w:rPr>
          <w:lang w:val="es-AR" w:eastAsia="es-AR" w:bidi="es-AR"/>
        </w:rPr>
        <w:t xml:space="preserve">Este Tribunal ha dicho reiteradamente que las fórmulas actuariales o baremos constituyen instrumentos que orientan a las partes y a los magistrados para esclarecer la existencia y entidad de la incapacidad laborativa que una persona puede experimentar; pero sus resultados deben necesariamente ser conjugados con otros elementos que brinda la realidad del caso concreto, de persona, tiempo y lugar, para la determinación de la incapacidad específica de la víctima. Dicho de otro modo, la fórmula no sustituye las concretas cargas probatorias que pesan sobre las partes respecto a los extremos en que se fundan sus pretensiones o defensas (ver causa N° 3278-18 caratulada "Beron Walter Daniel c/ Chade Gustavo Adrián y otros s/ Daños y Perj. Autom. c/Les. o Muerte (Exc. Estado)", 10 de Diciembre de 2018).  Y en este sentido, no advierto que se hayan acompañado elementos probatorios concretos que hagan presumir que los ingresos de la víctima aumentarán en el futuro.</w:t>
      </w:r>
    </w:p>
    <w:p>
      <w:pPr>
        <w:pStyle w:val="[Normal]"/>
        <w:spacing w:line="360" w:lineRule="auto"/>
        <w:ind w:firstLine="1134"/>
        <w:jc w:val="both"/>
        <w:rPr>
          <w:lang w:val="es-AR" w:eastAsia="es-AR" w:bidi="es-AR"/>
        </w:rPr>
      </w:pPr>
      <w:r>
        <w:rPr>
          <w:lang w:val="es-AR" w:eastAsia="es-AR" w:bidi="es-AR"/>
        </w:rPr>
        <w:t xml:space="preserve">En relación a la variable de la edad, entiendo que el límite final de la edad laboral de la víctima habrá de quedar establecido en 65 años, coincidiendo ello con el parámetro de la edad jubilatoria. Si bien este Tribunal ha admitido la prolongación de la edad laboral útil más allá del término inicial del etapa jubilatoria, ello ha sido así cuando obran además elementos concretos relacionados con la situación particular del damnificado que permitan suponer con un grado aceptable de razonabilidad la prolongación del término mencionado. Así, por ejemplo, en la causa "Plaich", esta Cámara hizo mérito de la referida extensión temporal de la edad laboral útil, pero para ello no se apoyó en referencias abstractas o genéricas, sino que lo hizo con base en las concretas probanzas recolectadas: </w:t>
      </w:r>
      <w:r>
        <w:rPr>
          <w:i/>
          <w:lang w:val="es-AR" w:eastAsia="es-AR" w:bidi="es-AR"/>
        </w:rPr>
        <w:t xml:space="preserve">"Del análisis conglobado de la prueba testimonial y pericial se infiere pues que la actora, pese a sus 61 años de edad, era una persona pletórica de vitalidad, con una capacidad de contracción al trabajo considerable y, por ende, con una expectativa de continuidad laboral que permite razonablemente suponer que su actividad no cesaría con el cumplimiento de la edad jubilatoria sino que se prolongaría por varios años más, máxime teniendo en cuenta que era ella quien afrontaba los gastos del hogar familiar"</w:t>
      </w:r>
      <w:r>
        <w:rPr>
          <w:lang w:val="es-AR" w:eastAsia="es-AR" w:bidi="es-AR"/>
        </w:rPr>
        <w:t xml:space="preserve"> (Cámara de Apelaciones en lo Civil y Comercial de Pergamino, "Plaich Nélida Teresa c/ Contino María Daniela y otro/a s/ Daños y Perjuicios", causa N° 3785-19, 16 de Abril de 2020).  </w:t>
      </w:r>
    </w:p>
    <w:p>
      <w:pPr>
        <w:pStyle w:val="[Normal]"/>
        <w:spacing w:line="360" w:lineRule="auto"/>
        <w:ind w:firstLine="1134"/>
        <w:jc w:val="both"/>
        <w:rPr>
          <w:lang w:val="es-AR" w:eastAsia="es-AR" w:bidi="es-AR"/>
        </w:rPr>
      </w:pPr>
      <w:r>
        <w:rPr>
          <w:lang w:val="es-AR" w:eastAsia="es-AR" w:bidi="es-AR"/>
        </w:rPr>
        <w:t xml:space="preserve">Como resultado de la combinación de las variables referidas y jurídicamente relevantes para la determinación de la incapacidad de la coactora, he de cifrar el rubro en cuestión en la suma de $ 485.171, de los cuales la demandada y citada en garantía únicamente deberán responder únicamente por la suma de $ 291.103 en virtud de la mayor incidencia dañosa que produjo la omisión de uso de casco que se estima en un 40% sobre la totalidad del daño ocasionado (Arts. 1069, 1077, 1083 y Ccs. del Cgo. Civil, art. 165 del C.P.C. y C.).</w:t>
      </w:r>
    </w:p>
    <w:p>
      <w:pPr>
        <w:pStyle w:val="[Normal]"/>
        <w:spacing w:line="360" w:lineRule="auto"/>
        <w:ind w:firstLine="1134"/>
        <w:jc w:val="both"/>
        <w:rPr>
          <w:lang w:val="es-AR" w:eastAsia="es-AR" w:bidi="es-AR"/>
        </w:rPr>
      </w:pPr>
      <w:r>
        <w:rPr>
          <w:lang w:val="es-AR" w:eastAsia="es-AR" w:bidi="es-AR"/>
        </w:rPr>
        <w:t xml:space="preserve">En cuanto a los intereses aplicables, y atento el diferente punto temporal de la base remuneratoria tenida en cuenta para cada uno de los coactores de autos, he de disponer la aplicación de la tasa pura del 6% desde el momento del hecho (11/11/2018) hasta la fecha de determinación del ingreso (1/11/2019 en el caso del Sr. Lezcano); y la fecha del dictado de esta sentencia (en el caso de la Sra. Carranza) y de allí en adelante se aplicará la tasa pasiva más alta que aplica el Banco Provincia de Buenos Aires para sus depósitos a 30 días.</w:t>
      </w:r>
    </w:p>
    <w:p>
      <w:pPr>
        <w:pStyle w:val="[Normal]"/>
        <w:spacing w:line="360" w:lineRule="auto"/>
        <w:ind w:firstLine="1134"/>
        <w:jc w:val="both"/>
        <w:rPr>
          <w:lang w:val="es-AR" w:eastAsia="es-AR" w:bidi="es-AR"/>
        </w:rPr>
      </w:pPr>
      <w:r>
        <w:rPr>
          <w:lang w:val="es-AR" w:eastAsia="es-AR" w:bidi="es-AR"/>
        </w:rPr>
        <w:t xml:space="preserve">Con el mismo criterio ya expuesto al acoger la queja sobre los montos indemnizatorios por incapacidad sobreviniente, los  establecidos por el "daño no patrimonial", no cumplen con la manda de que sean fijados a valores mas aproximados al momento de la sentencia.</w:t>
      </w:r>
    </w:p>
    <w:p>
      <w:pPr>
        <w:pStyle w:val="[Normal]"/>
        <w:spacing w:line="360" w:lineRule="auto"/>
        <w:ind w:firstLine="1134"/>
        <w:jc w:val="both"/>
        <w:rPr>
          <w:lang w:val="es-AR" w:eastAsia="es-AR" w:bidi="es-AR"/>
        </w:rPr>
      </w:pPr>
      <w:r>
        <w:rPr>
          <w:lang w:val="es-AR" w:eastAsia="es-AR" w:bidi="es-AR"/>
        </w:rPr>
        <w:t xml:space="preserve">Por lo cual, y teniendo en cuenta que es un daño que no requiere más prueba que los padecimientos sufridos por el accidente, con la repercusión en la vida de ambos demandantes, es que propongo la elevación del monto indemnizatorio del rubro a la suma de $400.000 para el Sr. Lezcano y de $ 170.000 para la Sra. Carranza, de los cuales la demandada y citada en garantía únicamente deberán responder por la suma de $240.000 y de $102.000, respectivamente en virtud de la mayor incidencia dañosa que produjo la omisión de uso de casco que se estima en un 40% sobre la totalidad del daño ocasionado (Arts. 1741 y ccs. del C.C y C. y  art. 165 del C.P.C. y C.).</w:t>
      </w:r>
    </w:p>
    <w:p>
      <w:pPr>
        <w:pStyle w:val="[Normal]"/>
        <w:spacing w:line="360" w:lineRule="auto"/>
        <w:ind w:firstLine="1134"/>
        <w:jc w:val="both"/>
        <w:rPr>
          <w:lang w:val="es-AR" w:eastAsia="es-AR" w:bidi="es-AR"/>
        </w:rPr>
      </w:pPr>
      <w:r>
        <w:rPr>
          <w:lang w:val="es-AR" w:eastAsia="es-AR" w:bidi="es-AR"/>
        </w:rPr>
        <w:t xml:space="preserve">Pasando a la queja por el monto otorgado por "gastos terapéuticos, médicos y colaterales" al Sr. Lezcano, asiste razón a la apelante en tanto que conforme se comprobara en autos, no  existió cobertura de ART alguna (documental adjuntada mediante escrito electrónico y lo acordado en audiencia de Fs. 115) por lo que, y  de acuerdo a "la índole de las lesiones" sufridas, se fija prudencialmente y a valores actuales en la suma de trece mil pesos ( $13.000),  de la cual la demandada y citada en garantía únicamente deberán responder por la suma de $7.800  en virtud de la mayor incidencia dañosa que produjo la omisión de uso de casco que se estima en un 40% sobre la totalidad del daño ocasionado (Art.1746 del C.C. y C. y 165 del C.P.C. y C.).</w:t>
      </w:r>
    </w:p>
    <w:p>
      <w:pPr>
        <w:pStyle w:val="[Normal]"/>
        <w:spacing w:line="360" w:lineRule="auto"/>
        <w:ind w:firstLine="1134"/>
        <w:jc w:val="both"/>
        <w:rPr>
          <w:lang w:val="es-AR" w:eastAsia="es-AR" w:bidi="es-AR"/>
        </w:rPr>
      </w:pPr>
      <w:r>
        <w:rPr>
          <w:lang w:val="es-AR" w:eastAsia="es-AR" w:bidi="es-AR"/>
        </w:rPr>
        <w:t xml:space="preserve">En relación a la Sra. Carranza, si bien la jueza no dio mayores detalle y se advierte la atención por medio de la Obra social mencionada en sentencia (Fs. 33), la cifra evidentemente resulta a todas luces insuficiente por lo que al igual que lo dicho para la coactora, se eleva la cifra a la suma de siete mil ($ 7.000), de la cual la demandada y citada en garantía únicamente deberán responder por la suma de $4.200  en virtud de la mayor incidencia dañosa que produjo la omisión de uso de casco que se estima en un 40% sobre la totalidad del daño ocasionado (Art.1746 del C.C. y C. y 165 del C.P.C. y C.).</w:t>
      </w:r>
    </w:p>
    <w:p>
      <w:pPr>
        <w:pStyle w:val="[Normal]"/>
        <w:spacing w:line="360" w:lineRule="auto"/>
        <w:ind w:firstLine="1134"/>
        <w:jc w:val="both"/>
        <w:rPr>
          <w:lang w:val="es-AR" w:eastAsia="es-AR" w:bidi="es-AR"/>
        </w:rPr>
      </w:pPr>
      <w:r>
        <w:rPr>
          <w:lang w:val="es-AR" w:eastAsia="es-AR" w:bidi="es-AR"/>
        </w:rPr>
        <w:t xml:space="preserve">En cuanto a los intereses aplicables por estos dos últimos rubros (daño no patrimonial y gastos terapéuticos, médicos y colaterales) y teniendo en cuenta que los valores se toman al momento de esta sentencia, es que he de disponer la aplicación de la tasa pura del 6% desde el momento del hecho (11/11/2018) hasta la fecha y de aquí en adelante se aplicará la tasa pasiva más alta que aplica el Banco Provincia de Buenos Aires para sus depósitos a 30 días.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el apoderado de la demandada y citada en garantía, y hacer lugar parcialmente al de la parte actora. En su mérito se eleva el monto de condena, el que se determina, una vez descontado el porcentaje de incidencia, en $1.038.000 para el Sr. Claudio Andres Lezcamo y de  $ 397.303 para la Sra. Paola Vanesa Carranza, con más los intereses conforme lo detallado en los considerandos arriba expuestos.</w:t>
      </w:r>
    </w:p>
    <w:p>
      <w:pPr>
        <w:pStyle w:val="[Normal]"/>
        <w:spacing w:line="360" w:lineRule="auto"/>
        <w:ind w:firstLine="1134"/>
        <w:jc w:val="both"/>
        <w:rPr>
          <w:lang w:val="es-AR" w:eastAsia="es-AR" w:bidi="es-AR"/>
        </w:rPr>
      </w:pPr>
      <w:r>
        <w:rPr>
          <w:lang w:val="es-AR" w:eastAsia="es-AR" w:bidi="es-AR"/>
        </w:rPr>
        <w:t xml:space="preserve">Costas de Alzada a la demandada y citada en garantía (Arts. 68/9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el momento oportuno (Arts. 31 y 51 de la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por el apoderado de la demandada y citada en garantía, y hacer lugar parcialmente al de la parte actora.  En su mérito se eleva el monto de condena, el que se determina, una vez descontado el porcentaje de incidencia, en $1.038.000 para el Sr. Claudio Andres Lezcamo y de  $ 397.303 para la Sra. Paola Vanesa Carranza, con más los intereses conforme lo detallado en los considerandos arriba expuestos.</w:t>
      </w:r>
    </w:p>
    <w:p>
      <w:pPr>
        <w:pStyle w:val="[Normal]"/>
        <w:spacing w:line="360" w:lineRule="auto"/>
        <w:ind w:firstLine="1134"/>
        <w:jc w:val="both"/>
        <w:rPr>
          <w:lang w:val="es-AR" w:eastAsia="es-AR" w:bidi="es-AR"/>
        </w:rPr>
      </w:pPr>
      <w:r>
        <w:rPr>
          <w:lang w:val="es-AR" w:eastAsia="es-AR" w:bidi="es-AR"/>
        </w:rPr>
        <w:t xml:space="preserve">Costas de Alzada a la demandada y citada en garantía (Arts. 68/9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el momento oportuno (Arts. 31 y 51 de la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27309485594@NOTIFICACIONES.SCBA.GOV.AR</w:t>
      </w:r>
    </w:p>
    <w:p>
      <w:pPr>
        <w:pStyle w:val="[Normal]"/>
        <w:rPr>
          <w:color w:val="000000"/>
          <w:lang w:val="es-AR" w:eastAsia="es-AR" w:bidi="es-AR"/>
        </w:rPr>
      </w:pPr>
      <w:r>
        <w:rPr>
          <w:color w:val="000000"/>
          <w:lang w:val="es-AR" w:eastAsia="es-AR" w:bidi="es-AR"/>
        </w:rPr>
        <w:t xml:space="preserve">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20225765295@NOTIFICACIONES.SCBA.GOV.AR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09:09:41 -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09:30:59 -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09:42:45 -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11/03/2021 10:21:21 -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20225765295@NOTIFICACIONES.SCBA.GOV.AR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27309485594@NOTIFICACIONES.SCBA.GOV.AR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‰79")è%$pzpŠ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232502090005048090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4015 - 20 - LEZCANO CLAUDIO ANDRES Y OTRO/A C/ MONTAÑOS FEDERICO NICOLAS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‰79")è%$pzpŠ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232502090005048090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ff"/>
      <w:shd w:val="clear" w:color="auto" w:fill="auto"/>
      <w:spacing w:before="100" w:after="10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