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9 /</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Fojas 45/55</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2 de marzo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4105-20</w:t>
      </w:r>
      <w:r>
        <w:rPr>
          <w:lang w:val="es-AR" w:eastAsia="es-AR" w:bidi="es-AR"/>
        </w:rPr>
        <w:t xml:space="preserve"> caratulada </w:t>
      </w:r>
      <w:r>
        <w:rPr>
          <w:b/>
          <w:lang w:val="es-AR" w:eastAsia="es-AR" w:bidi="es-AR"/>
        </w:rPr>
        <w:t xml:space="preserve">"</w:t>
      </w:r>
      <w:r>
        <w:rPr>
          <w:b/>
          <w:color w:val="000000"/>
          <w:lang w:val="es-AR" w:eastAsia="es-AR" w:bidi="es-AR"/>
        </w:rPr>
        <w:t xml:space="preserve">MOYANO ALDANA JANET Y OTRO/A C/ GAMBOA GRACIELA SUSANA Y OTRO/A S/ DAÑOS Y PERJ.AUTOM. C/LES. O MUERTE (EXC.ESTADO)</w:t>
      </w:r>
      <w:r>
        <w:rPr>
          <w:b/>
          <w:lang w:val="es-AR" w:eastAsia="es-AR" w:bidi="es-AR"/>
        </w:rPr>
        <w:t xml:space="preserve">"</w:t>
      </w:r>
      <w:r>
        <w:rPr>
          <w:lang w:val="es-AR" w:eastAsia="es-AR" w:bidi="es-AR"/>
        </w:rPr>
        <w:t xml:space="preserve">, Expte. N° </w:t>
      </w:r>
      <w:r>
        <w:rPr>
          <w:color w:val="000000"/>
          <w:lang w:val="es-AR" w:eastAsia="es-AR" w:bidi="es-AR"/>
        </w:rPr>
        <w:t xml:space="preserve">84.337</w:t>
      </w:r>
      <w:r>
        <w:rPr>
          <w:color w:val="000000"/>
          <w:lang w:val="es-AR" w:eastAsia="es-AR" w:bidi="es-AR"/>
        </w:rPr>
        <w:t xml:space="preserve"> </w:t>
      </w:r>
      <w:r>
        <w:rPr>
          <w:lang w:val="es-AR" w:eastAsia="es-AR" w:bidi="es-AR"/>
        </w:rPr>
        <w:t xml:space="preserve">del </w:t>
      </w:r>
      <w:r>
        <w:rPr>
          <w:color w:val="000000"/>
          <w:lang w:val="es-AR" w:eastAsia="es-AR" w:bidi="es-AR"/>
        </w:rPr>
        <w:t xml:space="preserve">Juzgado en lo Civil y Comercial N° 2</w:t>
      </w:r>
      <w:r>
        <w:rPr>
          <w:lang w:val="es-AR" w:eastAsia="es-AR" w:bidi="es-AR"/>
        </w:rPr>
        <w:t xml:space="preserve">, se practicó el sorteo de ley que determinó que la votación debía efectuarse en el siguiente orden: Graciela Scaraffia, Bernardo Louise y Roberto Degleue, y estudiados los autos se resolvió  plantear y votar las siguientes: </w:t>
      </w:r>
    </w:p>
    <w:p>
      <w:pPr>
        <w:pStyle w:val="[Normal]"/>
        <w:spacing w:line="360" w:lineRule="auto"/>
        <w:ind w:firstLine="1134"/>
        <w:jc w:val="both"/>
        <w:rPr>
          <w:lang w:val="es-AR" w:eastAsia="es-AR" w:bidi="es-AR"/>
        </w:rPr>
      </w:pPr>
      <w:r>
        <w:rPr>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1) La Sra. Jueza de la anterior instancia rechazó la demanda que instaurara Marcelo Rubén Sánchez y Aldana Janet Moyano, por vía de juicio sumario contra Graciela Susana Gamboa y la citada en garantía la Segunda Cooperativa Limitada de Seguros Generales, a quienes exoneró de responsabilidad. Impuso las costas a la parte actora, que resulta vencida (art. 68 C.P.C.).</w:t>
      </w:r>
      <w:r>
        <w:rPr>
          <w:b/>
          <w:lang w:val="es-AR" w:eastAsia="es-AR" w:bidi="es-AR"/>
        </w:rPr>
        <w:t xml:space="preserve"> </w:t>
      </w:r>
      <w:r>
        <w:rPr>
          <w:lang w:val="es-AR" w:eastAsia="es-AR" w:bidi="es-AR"/>
        </w:rPr>
        <w:t xml:space="preserve">Difirió la regulación de honorarios hasta que la presente adquiera firmeza.</w:t>
      </w:r>
    </w:p>
    <w:p>
      <w:pPr>
        <w:pStyle w:val="[Normal]"/>
        <w:spacing w:line="360" w:lineRule="auto"/>
        <w:ind w:firstLine="1134"/>
        <w:jc w:val="both"/>
        <w:rPr>
          <w:lang w:val="es-AR" w:eastAsia="es-AR" w:bidi="es-AR"/>
        </w:rPr>
      </w:pPr>
      <w:r>
        <w:rPr>
          <w:lang w:val="es-AR" w:eastAsia="es-AR" w:bidi="es-AR"/>
        </w:rPr>
        <w:t xml:space="preserve">Tal decisorio fue objeto del recurso de apelación por la parte actora mediante el escrito electrónico de fecha 08/10/2020, concedido en libremente y con efecto suspensivo el 09/10/2020.  Con fecha 03/11/2020 se ordenó expresar agravios a la parte actora, quien con fecha 09/11/2020 fundó el recurso. El 12/11/2020 se ordenó el traslado a la contraparte, el que fue evacuado mediante el escrito electrónico del 18/11/2020. Con fecha 20/11/2020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2) Se duele el apelante del rechazo de la demanda apontocada por la magistrada según reseña en una supuesta contradicción de las versiones dadas por el propio actor de la ocurrencia del accidente, indicando el recurrente que ello no es así.-</w:t>
      </w:r>
    </w:p>
    <w:p>
      <w:pPr>
        <w:pStyle w:val="[Normal]"/>
        <w:spacing w:line="360" w:lineRule="auto"/>
        <w:ind w:firstLine="1134"/>
        <w:jc w:val="both"/>
        <w:rPr>
          <w:lang w:val="es-AR" w:eastAsia="es-AR" w:bidi="es-AR"/>
        </w:rPr>
      </w:pPr>
      <w:r>
        <w:rPr>
          <w:lang w:val="es-AR" w:eastAsia="es-AR" w:bidi="es-AR"/>
        </w:rPr>
        <w:t xml:space="preserve">Aclara que el archivo del art. 268 párrafo 4to del CPP que menciona la operadora, en verdad fue el resultado de la decisión del actor quien formuló el desistimiento para la prosecución de la investigación penal preparatoria.-</w:t>
      </w:r>
    </w:p>
    <w:p>
      <w:pPr>
        <w:pStyle w:val="[Normal]"/>
        <w:spacing w:line="360" w:lineRule="auto"/>
        <w:ind w:firstLine="1134"/>
        <w:jc w:val="both"/>
        <w:rPr>
          <w:lang w:val="es-AR" w:eastAsia="es-AR" w:bidi="es-AR"/>
        </w:rPr>
      </w:pPr>
      <w:r>
        <w:rPr>
          <w:lang w:val="es-AR" w:eastAsia="es-AR" w:bidi="es-AR"/>
        </w:rPr>
        <w:t xml:space="preserve">Señala que las supuestas tres versiones contradictorias  a las que alude la operadora (una en sede policial, otra en la declaración testimonial prestada en la Fiscalía y otra en los hechos de la demanda civil), no son tales. Indican que en todas ellas se desprende la coincidencia de tiempo, horarios, lugar y dan cuenta del accidente padecido el 25 de mayo de 2019 a las 12.30 hs. aproximadamente en la intersección de Boulevard Rocha y 3 de Febrero, al comando el actor de una motocicleta y que dice fuera embestido por la demandada quien circulaba por calle 3 de febrero.  Señala que en ninguna de las tres versiones que indica la jueza se desprende contradicción.  Además refiere que la versión dada en la policía a escasas horas de producido el hecho y la prestada como testigo en la Fiscalía lo fueron sin asistencia letrada y en los medular describen el hecho en forma coherente. También tacha de irrelevante el acta de infracción aludido por la jueza puesto que no tiene incidencia en el nexo causal.-</w:t>
      </w:r>
    </w:p>
    <w:p>
      <w:pPr>
        <w:pStyle w:val="[Normal]"/>
        <w:spacing w:line="360" w:lineRule="auto"/>
        <w:ind w:firstLine="1134"/>
        <w:jc w:val="both"/>
        <w:rPr>
          <w:lang w:val="es-AR" w:eastAsia="es-AR" w:bidi="es-AR"/>
        </w:rPr>
      </w:pPr>
      <w:r>
        <w:rPr>
          <w:lang w:val="es-AR" w:eastAsia="es-AR" w:bidi="es-AR"/>
        </w:rPr>
        <w:t xml:space="preserve">Se duele contra la porción de la sentencia que sostiene que no puede asegurarse a ciencia cierta que el automóvil haya colisionado a la motocicleta o si por el contrario el actor, por el mal estado de conservación del ciclomotor, no logró frenar a tiempo y perdió el control cayendo en el pavimento.</w:t>
      </w:r>
    </w:p>
    <w:p>
      <w:pPr>
        <w:pStyle w:val="[Normal]"/>
        <w:spacing w:line="360" w:lineRule="auto"/>
        <w:ind w:firstLine="1134"/>
        <w:jc w:val="both"/>
        <w:rPr>
          <w:lang w:val="es-AR" w:eastAsia="es-AR" w:bidi="es-AR"/>
        </w:rPr>
      </w:pPr>
      <w:r>
        <w:rPr>
          <w:lang w:val="es-AR" w:eastAsia="es-AR" w:bidi="es-AR"/>
        </w:rPr>
        <w:t xml:space="preserve">Dice que no se valoró a su criterio lo que se encuentra acreditado en autos: esto es que el actor fue impactado por el VW Fox en la encrucijada, extremo acreditado por las fotografías agregadas en la causa penal que dan cuenta de los daños en el frente y paragolpes delantero que tiene el auto.-</w:t>
      </w:r>
    </w:p>
    <w:p>
      <w:pPr>
        <w:pStyle w:val="[Normal]"/>
        <w:spacing w:line="360" w:lineRule="auto"/>
        <w:ind w:firstLine="1134"/>
        <w:jc w:val="both"/>
        <w:rPr>
          <w:lang w:val="es-AR" w:eastAsia="es-AR" w:bidi="es-AR"/>
        </w:rPr>
      </w:pPr>
      <w:r>
        <w:rPr>
          <w:lang w:val="es-AR" w:eastAsia="es-AR" w:bidi="es-AR"/>
        </w:rPr>
        <w:t xml:space="preserve">También se queja de la falta de valoración de los dichos de la demandada en el escrito de conteste de la demanda cuando la propia señala que "circulaba por calle 3 de febrero cuando frenó para cruzar Rocha, luego de mirar a ambos lados corroborando que me encuentro habilitada, se dispone a cruzar".-</w:t>
      </w:r>
    </w:p>
    <w:p>
      <w:pPr>
        <w:pStyle w:val="[Normal]"/>
        <w:spacing w:line="360" w:lineRule="auto"/>
        <w:ind w:firstLine="1134"/>
        <w:jc w:val="both"/>
        <w:rPr>
          <w:lang w:val="es-AR" w:eastAsia="es-AR" w:bidi="es-AR"/>
        </w:rPr>
      </w:pPr>
      <w:r>
        <w:rPr>
          <w:lang w:val="es-AR" w:eastAsia="es-AR" w:bidi="es-AR"/>
        </w:rPr>
        <w:t xml:space="preserve">Explica el quejoso que acreditado el hecho y la participación estaba en cabeza de la demandada la obligación de probar la ruptura del nexo causal para exonerarse de responsabilidad y ello claramente no ha sido alcanzado.  Expresando además que  tampoco se probó la excesiva velocidad que le fuera achacada a su parte ni que haya perdido el dominio.-</w:t>
      </w:r>
    </w:p>
    <w:p>
      <w:pPr>
        <w:pStyle w:val="[Normal]"/>
        <w:spacing w:line="360" w:lineRule="auto"/>
        <w:ind w:firstLine="1134"/>
        <w:jc w:val="both"/>
        <w:rPr>
          <w:lang w:val="es-AR" w:eastAsia="es-AR" w:bidi="es-AR"/>
        </w:rPr>
      </w:pPr>
      <w:r>
        <w:rPr>
          <w:lang w:val="es-AR" w:eastAsia="es-AR" w:bidi="es-AR"/>
        </w:rPr>
        <w:t xml:space="preserve">Cita doctrina de este Tribuna "Membriani", "Amato" "Prates".-</w:t>
      </w:r>
    </w:p>
    <w:p>
      <w:pPr>
        <w:pStyle w:val="[Normal]"/>
        <w:spacing w:line="360" w:lineRule="auto"/>
        <w:ind w:firstLine="1134"/>
        <w:jc w:val="both"/>
        <w:rPr>
          <w:lang w:val="es-AR" w:eastAsia="es-AR" w:bidi="es-AR"/>
        </w:rPr>
      </w:pPr>
      <w:r>
        <w:rPr>
          <w:lang w:val="es-AR" w:eastAsia="es-AR" w:bidi="es-AR"/>
        </w:rPr>
        <w:t xml:space="preserve">También alude a la existencia de la legitimación activa señalando que Sánchez al momento del accidente era tenedor del ciclomotor y usaba el mismo junto con su pareja.  Pide la revocación de la sentencia.-</w:t>
      </w:r>
    </w:p>
    <w:p>
      <w:pPr>
        <w:pStyle w:val="[Normal]"/>
        <w:spacing w:line="360" w:lineRule="auto"/>
        <w:ind w:firstLine="1134"/>
        <w:jc w:val="both"/>
        <w:rPr>
          <w:lang w:val="es-AR" w:eastAsia="es-AR" w:bidi="es-AR"/>
        </w:rPr>
      </w:pPr>
      <w:r>
        <w:rPr>
          <w:lang w:val="es-AR" w:eastAsia="es-AR" w:bidi="es-AR"/>
        </w:rPr>
        <w:t xml:space="preserve">3) A su turno contesta los agravios el apoderado de la parte demandada señalando que el texto de la ley 24.449 es claro en el art. 41 puntualmente cuando señala que la prioridad de paso del que viene por la derecha es absoluta y solo se pierde ante los casos que expresamente la ley menciona, no encontrándose mencionadas las avenidas.-</w:t>
      </w:r>
    </w:p>
    <w:p>
      <w:pPr>
        <w:pStyle w:val="[Normal]"/>
        <w:spacing w:line="360" w:lineRule="auto"/>
        <w:ind w:firstLine="1134"/>
        <w:jc w:val="both"/>
        <w:rPr>
          <w:lang w:val="es-AR" w:eastAsia="es-AR" w:bidi="es-AR"/>
        </w:rPr>
      </w:pPr>
      <w:r>
        <w:rPr>
          <w:lang w:val="es-AR" w:eastAsia="es-AR" w:bidi="es-AR"/>
        </w:rPr>
        <w:t xml:space="preserve">Por otra parte indica que tal como lo recogió la operadora, se aprecia una contradicción de las versiones dadas por el actor, y de la mecánica se desprende que la demandada circulaba a muy poca velocidad, justamente a fin de ingresar a la Avenida.-</w:t>
      </w:r>
    </w:p>
    <w:p>
      <w:pPr>
        <w:pStyle w:val="[Normal]"/>
        <w:spacing w:line="360" w:lineRule="auto"/>
        <w:ind w:firstLine="1134"/>
        <w:jc w:val="both"/>
        <w:rPr>
          <w:lang w:val="es-AR" w:eastAsia="es-AR" w:bidi="es-AR"/>
        </w:rPr>
      </w:pPr>
      <w:r>
        <w:rPr>
          <w:lang w:val="es-AR" w:eastAsia="es-AR" w:bidi="es-AR"/>
        </w:rPr>
        <w:t xml:space="preserve">Señala que para forzar una interpretación distinta a la doctrina legal se requieren circunstancias muy especiales y de directa relación causal con el siniestro, las que no se aprecian en la especie.-</w:t>
      </w:r>
    </w:p>
    <w:p>
      <w:pPr>
        <w:pStyle w:val="[Normal]"/>
        <w:spacing w:line="360" w:lineRule="auto"/>
        <w:ind w:firstLine="1134"/>
        <w:jc w:val="both"/>
        <w:rPr>
          <w:lang w:val="es-AR" w:eastAsia="es-AR" w:bidi="es-AR"/>
        </w:rPr>
      </w:pPr>
      <w:r>
        <w:rPr>
          <w:lang w:val="es-AR" w:eastAsia="es-AR" w:bidi="es-AR"/>
        </w:rPr>
        <w:t xml:space="preserve">Asimismo que tampoco se puede soslayar el estado en que se encontraba la motocicleta, y que no debía encontrarse circulando ya que importaba una serie de riesgos para el conductor y los terceros y acertadamente dice haberlo entendido la magistrada.-</w:t>
      </w:r>
    </w:p>
    <w:p>
      <w:pPr>
        <w:pStyle w:val="[Normal]"/>
        <w:spacing w:line="360" w:lineRule="auto"/>
        <w:ind w:firstLine="1134"/>
        <w:jc w:val="both"/>
        <w:rPr>
          <w:lang w:val="es-AR" w:eastAsia="es-AR" w:bidi="es-AR"/>
        </w:rPr>
      </w:pPr>
      <w:r>
        <w:rPr>
          <w:lang w:val="es-AR" w:eastAsia="es-AR" w:bidi="es-AR"/>
        </w:rPr>
        <w:t xml:space="preserve">Sosteniendo en su responde que el accidente se provoca por no respetar el conductor de la motocicleta la prioridad de paso absoluta que tenía la demandada quien circulaba por la derecha y el mal estado de la moto.-</w:t>
      </w:r>
    </w:p>
    <w:p>
      <w:pPr>
        <w:pStyle w:val="[Normal]"/>
        <w:spacing w:line="360" w:lineRule="auto"/>
        <w:ind w:firstLine="1134"/>
        <w:jc w:val="both"/>
        <w:rPr>
          <w:lang w:val="es-AR" w:eastAsia="es-AR" w:bidi="es-AR"/>
        </w:rPr>
      </w:pPr>
      <w:r>
        <w:rPr>
          <w:lang w:val="es-AR" w:eastAsia="es-AR" w:bidi="es-AR"/>
        </w:rPr>
        <w:t xml:space="preserve">4) Entrando a resolver el punto central de la controversia traída por el quejoso versa sobre la desestimación de la demanda, la que fuera apontocada sobre la insatisfacción probatoria de la mecánica del hecho y la relación de causalidad conforme se desprende de los considerandos del fallo.-</w:t>
      </w:r>
    </w:p>
    <w:p>
      <w:pPr>
        <w:pStyle w:val="[Normal]"/>
        <w:spacing w:line="360" w:lineRule="auto"/>
        <w:ind w:firstLine="1134"/>
        <w:jc w:val="both"/>
        <w:rPr>
          <w:lang w:val="es-AR" w:eastAsia="es-AR" w:bidi="es-AR"/>
        </w:rPr>
      </w:pPr>
      <w:r>
        <w:rPr>
          <w:lang w:val="es-AR" w:eastAsia="es-AR" w:bidi="es-AR"/>
        </w:rPr>
        <w:t xml:space="preserve">Para comenzar he de señalar que el sistema normativo indica la existencia de una responsabilidad de tipo objetiva cuando intervienen en un evento cosas generadoras de riesgo, tal como lo son un automóvil y un ciclomotor.  Frente a ello habrá de discernirse cuales han sido los aportes causales de cada protagonista en el evento, para así llegar a un juicio de reproche.-</w:t>
      </w:r>
    </w:p>
    <w:p>
      <w:pPr>
        <w:pStyle w:val="[Normal]"/>
        <w:spacing w:line="360" w:lineRule="auto"/>
        <w:ind w:firstLine="1134"/>
        <w:jc w:val="both"/>
        <w:rPr>
          <w:lang w:val="es-AR" w:eastAsia="es-AR" w:bidi="es-AR"/>
        </w:rPr>
      </w:pPr>
      <w:r>
        <w:rPr>
          <w:lang w:val="es-AR" w:eastAsia="es-AR" w:bidi="es-AR"/>
        </w:rPr>
        <w:t xml:space="preserve">De tal modo que a cada parte le pesa la carga de demostrar aquello que afirma (art. 375 del CPCC), en el punto la demandada tenía que probar que hubo una ruptura del nexo causal por culpa de la propia víctima o de un tercero por quien no debía responder</w:t>
      </w:r>
      <w:r>
        <w:rPr>
          <w:b/>
          <w:lang w:val="es-AR" w:eastAsia="es-AR" w:bidi="es-AR"/>
        </w:rPr>
        <w:t xml:space="preserve"> </w:t>
      </w:r>
      <w:r>
        <w:rPr>
          <w:lang w:val="es-AR" w:eastAsia="es-AR" w:bidi="es-AR"/>
        </w:rPr>
        <w:t xml:space="preserve">(art. 1734 y ccs del CCCN).</w:t>
      </w:r>
    </w:p>
    <w:p>
      <w:pPr>
        <w:pStyle w:val="[Normal]"/>
        <w:spacing w:line="360" w:lineRule="auto"/>
        <w:ind w:firstLine="1134"/>
        <w:jc w:val="both"/>
        <w:rPr>
          <w:lang w:val="es-AR" w:eastAsia="es-AR" w:bidi="es-AR"/>
        </w:rPr>
      </w:pPr>
      <w:r>
        <w:rPr>
          <w:lang w:val="es-AR" w:eastAsia="es-AR" w:bidi="es-AR"/>
        </w:rPr>
        <w:t xml:space="preserve">De la ocurrencia del hecho y del nexo causal contrariamente a lo que se dice en primera instancia, hay pruebas que permiten dar por acreditado el siniestro, el modo en que se produjo y veremos después lo referido al nexo causal.-</w:t>
      </w:r>
    </w:p>
    <w:p>
      <w:pPr>
        <w:pStyle w:val="[Normal]"/>
        <w:spacing w:line="360" w:lineRule="auto"/>
        <w:ind w:firstLine="1134"/>
        <w:jc w:val="both"/>
        <w:rPr>
          <w:lang w:val="es-AR" w:eastAsia="es-AR" w:bidi="es-AR"/>
        </w:rPr>
      </w:pPr>
      <w:r>
        <w:rPr>
          <w:lang w:val="es-AR" w:eastAsia="es-AR" w:bidi="es-AR"/>
        </w:rPr>
        <w:t xml:space="preserve">En efecto, de la Investigación Penal Preparatoria PP-12-00-003507-19/20 caratulada "Gamboa Graciela Susana s/ Lesiones culposas " tramitada por ante el Juzgado de Garantías Nro. 1, que tengo a la vista, y que se tornara prueba común de las partes, hay datos que dan cuenta de la existencia del siniestro, lugar, fecha, a saber: acta de levantamiento de evidencias físicas Nro 44 de fs. 3, croquis de fs. 4, fotografías de fs. 5/7, relato del procedimiento de fs. 15, la declaración testimonial de fs. 48/49 prestada por Marcelo Sánchez, "lo que da cuenta de la existencia del hecho, ocurrido el 25 de mayo de 2019 alrededor de las 11 hs. cuando el actor circulaba en una moto Guerrero Trip por Bvard. Rocha hacia el Barrio Centenario y en el punto con calle 3 de Febrero colisiona con un automóvil color rojo, el cual asoma su trompa y empieza a subir el desnivel que hay en esa intersección, no sabe si era para acceder al Boulevard o doblar en alguna de sus dos direcciones".-</w:t>
      </w:r>
    </w:p>
    <w:p>
      <w:pPr>
        <w:pStyle w:val="[Normal]"/>
        <w:spacing w:line="360" w:lineRule="auto"/>
        <w:ind w:firstLine="1134"/>
        <w:jc w:val="both"/>
        <w:rPr>
          <w:lang w:val="es-AR" w:eastAsia="es-AR" w:bidi="es-AR"/>
        </w:rPr>
      </w:pPr>
      <w:r>
        <w:rPr>
          <w:lang w:val="es-AR" w:eastAsia="es-AR" w:bidi="es-AR"/>
        </w:rPr>
        <w:t xml:space="preserve">El archivo dictado en la IPP señalada lo fue por el desistimiento formulado por el propio denunciante y que obra en su declaración de fs. 48/49, aunque dicha circunstancia procesal no releva de modo alguno, en el examen de la responsabilidad civil que le cupiera a cada parte, en cuanto distintos son los supuestos a tener en cuenta para el reproche en esta sede.-</w:t>
      </w:r>
    </w:p>
    <w:p>
      <w:pPr>
        <w:pStyle w:val="[Normal]"/>
        <w:spacing w:line="360" w:lineRule="auto"/>
        <w:ind w:firstLine="1134"/>
        <w:jc w:val="both"/>
        <w:rPr>
          <w:lang w:val="es-AR" w:eastAsia="es-AR" w:bidi="es-AR"/>
        </w:rPr>
      </w:pPr>
      <w:r>
        <w:rPr>
          <w:lang w:val="es-AR" w:eastAsia="es-AR" w:bidi="es-AR"/>
        </w:rPr>
        <w:t xml:space="preserve">Estos elementos dan cuenta entonces que el actor circulaba en su motocicleta por Bvard. Rocha y que en la intersección con calle 3 de Febrero se produce la colisión, cuando la conductora del rodado quien circulaba por la derecha  pretende acceder al Boulevard.-</w:t>
      </w:r>
    </w:p>
    <w:p>
      <w:pPr>
        <w:pStyle w:val="[Normal]"/>
        <w:spacing w:line="360" w:lineRule="auto"/>
        <w:ind w:firstLine="1134"/>
        <w:jc w:val="both"/>
        <w:rPr>
          <w:lang w:val="es-AR" w:eastAsia="es-AR" w:bidi="es-AR"/>
        </w:rPr>
      </w:pPr>
      <w:r>
        <w:rPr>
          <w:lang w:val="es-AR" w:eastAsia="es-AR" w:bidi="es-AR"/>
        </w:rPr>
        <w:t xml:space="preserve">Así las cosas, esto también se desprende de la postulación del propio letrado de la parte demandada, quien invoca en su libelo de responde la aplicación de la doctrina de la Suprema Corte de la Provincia respecto del art. 41 de la ley 24.449 que reposa sobre la idea de que la prioridad del que viene por la derecha es absoluta y sólo se pierde en los 7 casos que específicamente se indican en la norma, no encontrándose las avenidas entre las excepciones.-</w:t>
      </w:r>
    </w:p>
    <w:p>
      <w:pPr>
        <w:pStyle w:val="[Normal]"/>
        <w:spacing w:line="360" w:lineRule="auto"/>
        <w:ind w:firstLine="1134"/>
        <w:jc w:val="both"/>
        <w:rPr>
          <w:lang w:val="es-AR" w:eastAsia="es-AR" w:bidi="es-AR"/>
        </w:rPr>
      </w:pPr>
      <w:r>
        <w:rPr>
          <w:lang w:val="es-AR" w:eastAsia="es-AR" w:bidi="es-AR"/>
        </w:rPr>
        <w:t xml:space="preserve">De lo cual se desprende que sobre el relato del actor, la parte demandada si bien negó el hecho en términos generales, en su descripción acudió a la normativa de excepción que menciona para exonerar a su clienta de total responsabilidad, respaldándose en la doctrina señalada.-</w:t>
      </w:r>
    </w:p>
    <w:p>
      <w:pPr>
        <w:pStyle w:val="[Normal]"/>
        <w:spacing w:line="360" w:lineRule="auto"/>
        <w:ind w:firstLine="1134"/>
        <w:jc w:val="both"/>
        <w:rPr>
          <w:lang w:val="es-AR" w:eastAsia="es-AR" w:bidi="es-AR"/>
        </w:rPr>
      </w:pPr>
      <w:r>
        <w:rPr>
          <w:lang w:val="es-AR" w:eastAsia="es-AR" w:bidi="es-AR"/>
        </w:rPr>
        <w:t xml:space="preserve">No hallo tampoco que las contradicciones de las declaraciones que menciona la sentencia de grado sean de tal entidad que neutralicen la posibilidad de determinar la secuencia del accidente, en efecto de la prestada a fs. 31 durante la instrucción policial por el actor, la vertida en la Fiscalía a fs. 48 bajo la condición de testigo por el mismo, y la postulación inicial de la demanda, hay un hilo conductor que se mantiene vigente, al referirse al sentido de circulación del actor, el Boulevard Rocha dirigiéndose hacia el Barrio Centenario o el arroyo, la aparición por su derecha del Automóvil VW color rojo, el punto de encuentro de la colisión, el lugar donde fuera impactado el motociclo; difiriendo en el relato de la caída o no del actor sobre el asfalto, lo que no me aparece relevante en orden a determinar la mecánica y causalidad del accidente.-</w:t>
      </w:r>
    </w:p>
    <w:p>
      <w:pPr>
        <w:pStyle w:val="[Normal]"/>
        <w:spacing w:line="360" w:lineRule="auto"/>
        <w:ind w:firstLine="1134"/>
        <w:jc w:val="both"/>
        <w:rPr>
          <w:lang w:val="es-AR" w:eastAsia="es-AR" w:bidi="es-AR"/>
        </w:rPr>
      </w:pPr>
      <w:r>
        <w:rPr>
          <w:lang w:val="es-AR" w:eastAsia="es-AR" w:bidi="es-AR"/>
        </w:rPr>
        <w:t xml:space="preserve">Justamente el exceso de intervención de distintos organismos en forma yuxtapuesta, por un lado en  el fuero penal que en nada terminaron, y en sede civil lo que arroja es una sobrecarga de organismos de jurisdicción apuntando hacia el mismo tema, con un enorme desgaste que muchas veces no conduce a resultados que den certidumbre.-</w:t>
      </w:r>
    </w:p>
    <w:p>
      <w:pPr>
        <w:pStyle w:val="[Normal]"/>
        <w:spacing w:line="360" w:lineRule="auto"/>
        <w:ind w:firstLine="1134"/>
        <w:jc w:val="both"/>
        <w:rPr>
          <w:lang w:val="es-AR" w:eastAsia="es-AR" w:bidi="es-AR"/>
        </w:rPr>
      </w:pPr>
      <w:r>
        <w:rPr>
          <w:lang w:val="es-AR" w:eastAsia="es-AR" w:bidi="es-AR"/>
        </w:rPr>
        <w:t xml:space="preserve">Desde esta perspectiva, las declaraciones no son contrapuestas sino complementarias, y los detalles de la caída sobre el asfalto, no empañan la veracidad de lo acontecido, máxime que la supuesta falta de acuerdo sobre algunos puntos debe ser meritada con el resto de la prueba en general.-</w:t>
      </w:r>
    </w:p>
    <w:p>
      <w:pPr>
        <w:pStyle w:val="[Normal]"/>
        <w:spacing w:line="360" w:lineRule="auto"/>
        <w:ind w:firstLine="1134"/>
        <w:jc w:val="both"/>
        <w:rPr>
          <w:lang w:val="es-AR" w:eastAsia="es-AR" w:bidi="es-AR"/>
        </w:rPr>
      </w:pPr>
      <w:r>
        <w:rPr>
          <w:lang w:val="es-AR" w:eastAsia="es-AR" w:bidi="es-AR"/>
        </w:rPr>
        <w:t xml:space="preserve">Lo que entonces corresponde ahora dilucidar es como funciona la regla Avenidas versus prioridad de paso del que viene por la derecha, postulado por la parte demandada.-</w:t>
      </w:r>
    </w:p>
    <w:p>
      <w:pPr>
        <w:pStyle w:val="[Normal]"/>
        <w:spacing w:line="360" w:lineRule="auto"/>
        <w:ind w:firstLine="1134"/>
        <w:jc w:val="both"/>
        <w:rPr>
          <w:lang w:val="es-AR" w:eastAsia="es-AR" w:bidi="es-AR"/>
        </w:rPr>
      </w:pPr>
      <w:r>
        <w:rPr>
          <w:lang w:val="es-AR" w:eastAsia="es-AR" w:bidi="es-AR"/>
        </w:rPr>
        <w:t xml:space="preserve">En este punto hemos tenido oportunidad de pronunciarnos en numerosos precedentes, no sólo con la integración anterior junto a mi colega Dr. Roberto Degleue sino con la contribución del nuevo integrante de este Tribunal en nueva composición Dr. Bernardo Louise, en donde señaláramos la postura adoptada en el tema, que lejos está de violentar la doctrina legal del Supremo Tribunal Provincial, sino que por el contrario ha tendido a lograr  una interpretación sistémica del orden jurídico.-</w:t>
      </w:r>
    </w:p>
    <w:p>
      <w:pPr>
        <w:pStyle w:val="[Normal]"/>
        <w:spacing w:line="360" w:lineRule="auto"/>
        <w:ind w:firstLine="1134"/>
        <w:jc w:val="both"/>
        <w:rPr>
          <w:lang w:val="es-AR" w:eastAsia="es-AR" w:bidi="es-AR"/>
        </w:rPr>
      </w:pPr>
      <w:r>
        <w:rPr>
          <w:lang w:val="es-AR" w:eastAsia="es-AR" w:bidi="es-AR"/>
        </w:rPr>
        <w:t xml:space="preserve">Si bien es cierto que en la causa “Prates” y “Silva” (ver Cámara de Apelaciones en lo Civil y Comercial de Pergamino, “Prates, Patricia Beatriz c/ La Caja de Seguros S.A. y otro/a s/ Daños y perj. Autom. s/ lesiones (Exc. Estado)”, 13/09/2016, Autos n° 2679, Registro N° 81/2016; “Silva, Franco Pablo Alejandro c/ Lacaba, Franco Lautaro y otros s/ Daños y Perj. Autom. c/ Les. O Muerte (Exc. Estado)”. Autos N° 2825-16, Registro N°  83 /2017 29/06/2017) esta Cámara se había hecho eco de los fundamentados expresados en el precedente “Saborido” (cf. Cámara de Apelaciones de La Plata, Sala II, “SABORIDO, JUAN CARLOS c/MASTER 1 SRL Y OTRO s/DAÑOS Y PERJ. AUTOM. C/LESIONES (EXC. ESTADO)”, causa 118.034, 16/12/2014) en concordancia con el cual terminó por admitir la prioridad de paso de quien circula por la vía de mayor jerarquía con base en una interpretación finalista del art. 41 de la ley provincial de tránsito, el estado actual de la cuestión nos conduce inexcusablemente a reconsiderar la cuestión.-</w:t>
      </w:r>
    </w:p>
    <w:p>
      <w:pPr>
        <w:pStyle w:val="[Normal]"/>
        <w:spacing w:line="360" w:lineRule="auto"/>
        <w:ind w:firstLine="1134"/>
        <w:jc w:val="both"/>
        <w:rPr>
          <w:lang w:val="es-AR" w:eastAsia="es-AR" w:bidi="es-AR"/>
        </w:rPr>
      </w:pPr>
      <w:r>
        <w:rPr>
          <w:lang w:val="es-AR" w:eastAsia="es-AR" w:bidi="es-AR"/>
        </w:rPr>
        <w:t xml:space="preserve"> Es que, con posterioridad al fallo platense, la doctrina legal de la SCJBA aportó definiciones contundentes en relación al tema en tratamiento. Así, en “Rearte”, el Máximo Tribunal Provincial sostuvo categóricamente que la prioridad de paso le asiste a quien conduce por la derecha, y la excepción (en lo que a las vías de mayor jerarquía refiere –inc. d art. 41 de la ley 24.449 a la que adhiere la Provincia de Buenos Aires-) abarca exclusivamente a quienes circulan por una semiautopista. El mencionado criterio fue ratificado ulteriormente por la Corte Provincial en las causas “Canales” y “Flamenco” (cf. SCBA, “Rearte, Walter Edgardo contra Chere, Miguel Angel y otro. Daños y perjuicios”. Causa C. 118.128, 08/04/2015, “Flamenco, Ceferino Alfredo contra Giménez, Hugo Daniel. Daños y Perjuicios”, causa C. 121.006, 30/05/2018; “Canales Riesco, María Lorena contra Gonnet, Jorge Néstor y otro. Daños y Perjuicios”, causa C. 120.890, 18/04/2018).- </w:t>
      </w:r>
    </w:p>
    <w:p>
      <w:pPr>
        <w:pStyle w:val="[Normal]"/>
        <w:spacing w:line="360" w:lineRule="auto"/>
        <w:ind w:firstLine="1134"/>
        <w:jc w:val="both"/>
        <w:rPr>
          <w:lang w:val="es-AR" w:eastAsia="es-AR" w:bidi="es-AR"/>
        </w:rPr>
      </w:pPr>
      <w:r>
        <w:rPr>
          <w:lang w:val="es-AR" w:eastAsia="es-AR" w:bidi="es-AR"/>
        </w:rPr>
        <w:t xml:space="preserve">En función de lo expuesto, la actual doctrina legal de la Corte es conteste en que el art. 41 de la ley 24.449 inc. d vigente en el ámbito provincial por la ley de adhesión 13.927 no excepciona a quién transita por una avenida de la prioridad de paso que recae en cabeza de quien circula por la derecha.-</w:t>
      </w:r>
    </w:p>
    <w:p>
      <w:pPr>
        <w:pStyle w:val="[Normal]"/>
        <w:spacing w:line="360" w:lineRule="auto"/>
        <w:ind w:firstLine="1134"/>
        <w:jc w:val="both"/>
        <w:rPr>
          <w:lang w:val="es-AR" w:eastAsia="es-AR" w:bidi="es-AR"/>
        </w:rPr>
      </w:pPr>
      <w:r>
        <w:rPr>
          <w:lang w:val="es-AR" w:eastAsia="es-AR" w:bidi="es-AR"/>
        </w:rPr>
        <w:t xml:space="preserve">Teniendo en cuenta la vinculatoriedad relativa de la doctrina legal de la SCJBA para los tribunales inferiores, entendemos que, en principio, corresponde ajustarse al temperamento interpretativo del Máximo Tribunal Provincial según el cual las avenidas no constituyen un supuesto de excepción a la prioridad de paso establecida en la normativa provincial (cf. SCBA, “Rearte, Walter Edgardo contra Chere, Miguel Angel y Otro s/ Daños y perjuicios”, causa C. 118128, 8 de Abril de 2015).-</w:t>
      </w:r>
    </w:p>
    <w:p>
      <w:pPr>
        <w:pStyle w:val="[Normal]"/>
        <w:spacing w:line="360" w:lineRule="auto"/>
        <w:ind w:firstLine="1134"/>
        <w:jc w:val="both"/>
        <w:rPr>
          <w:lang w:val="es-AR" w:eastAsia="es-AR" w:bidi="es-AR"/>
        </w:rPr>
      </w:pPr>
      <w:r>
        <w:rPr>
          <w:lang w:val="es-AR" w:eastAsia="es-AR" w:bidi="es-AR"/>
        </w:rPr>
        <w:t xml:space="preserve">Sin perjuicio de lo expuesto, consideramos que la doctrina legal de la SCJBA no es incompatible con una interpretación finalista y sistémica del art. 41 que permita flexibilizar el alcance de la prioridad de paso cuando quien circula por la derecha ingresa a una avenida.-</w:t>
      </w:r>
    </w:p>
    <w:p>
      <w:pPr>
        <w:pStyle w:val="[Normal]"/>
        <w:spacing w:line="360" w:lineRule="auto"/>
        <w:ind w:firstLine="1134"/>
        <w:jc w:val="both"/>
        <w:rPr>
          <w:lang w:val="es-AR" w:eastAsia="es-AR" w:bidi="es-AR"/>
        </w:rPr>
      </w:pPr>
      <w:r>
        <w:rPr>
          <w:lang w:val="es-AR" w:eastAsia="es-AR" w:bidi="es-AR"/>
        </w:rPr>
        <w:t xml:space="preserve">En sustento de la télesis propugnada, la propia SCJBA ha reconocido en las recientes sentencias mencionadas que: “La prioridad de paso que asigna el art. 57 de la ley 11.430 si bien –en principio- es absoluta, no puede ser evaluada en forma autónoma sino por el contrario imbrincada en el contexto general de las normas de tránsito, analizando su vigencia en correspondencia con la simultánea existencia de otras infracciones y en correlación, también, con los preceptos específicos del Código Civil que disciplinan la responsabilidad por daños” (cf. SCBA, causa C 120.890, “Canales Riesco, María Lorena c/ Gonnet, Jorge Néstor y otro. Daños y perjuicios”, 18/04/2018).-</w:t>
      </w:r>
    </w:p>
    <w:p>
      <w:pPr>
        <w:pStyle w:val="[Normal]"/>
        <w:spacing w:line="360" w:lineRule="auto"/>
        <w:ind w:firstLine="1134"/>
        <w:jc w:val="both"/>
        <w:rPr>
          <w:lang w:val="es-AR" w:eastAsia="es-AR" w:bidi="es-AR"/>
        </w:rPr>
      </w:pPr>
      <w:r>
        <w:rPr>
          <w:lang w:val="es-AR" w:eastAsia="es-AR" w:bidi="es-AR"/>
        </w:rPr>
        <w:t xml:space="preserve">En este dirección, compartimos los fundamentos expresados por la Sala II de la Cámara de Apelaciones en lo Civil y Comercial del Departamento Judicial de Azul en la causa “López”, en el sentido que, sin desmedro de la prioridad de paso que le corresponde al conductor que circula por la vía de la derecha, “la regla general (art. 41 inc. d ley 24.449) debe armonizarse con el principio cardinal que rige la circulación vial y que se expresa como mandato abierto e indeterminado: ´circule de manera de no dañar a otro, con la máxima cautela y previsión, de modo que tenga el control de su vehículo sin entorpecer la circulación ni afectar la fluidez del tránsito”.-</w:t>
      </w:r>
    </w:p>
    <w:p>
      <w:pPr>
        <w:pStyle w:val="[Normal]"/>
        <w:spacing w:line="360" w:lineRule="auto"/>
        <w:ind w:firstLine="1134"/>
        <w:jc w:val="both"/>
        <w:rPr>
          <w:lang w:val="es-AR" w:eastAsia="es-AR" w:bidi="es-AR"/>
        </w:rPr>
      </w:pPr>
      <w:r>
        <w:rPr>
          <w:lang w:val="es-AR" w:eastAsia="es-AR" w:bidi="es-AR"/>
        </w:rPr>
        <w:t xml:space="preserve">Amparados en tal convicción, consideramos que la síntesis jurídica lograda por la Sala II de la Cámara de Apelaciones en lo Civil y Comercial de Azul en la causa “Degano”, trasunta una derivación razonada y armónica del derecho vigente, lo que motiva nuestra adhesión al criterio sentado: “La conjugación de la regla (prioridad de paso de quien ingresa por la derecha a una avenida) y el principio o enunciado normativo (prioridad de paso de quien circula por la avenida) puede formularse sosteniendo que el conductor que circula por la derecha por una calle o arteria común y accede a una avenida o ´vía principal´, como lo decía la legislación derogada, generalmente de doble mano y de tránsito más frecuente y rápido, debe ejercer su derecho a procurar el cruce (interfiriendo de esa manera en la fluidez vial y entorpeciendo la circulación vial) cuando las circunstancias y condiciones del tránsito lo permitan, sin riesgos para sí o para terceros (arts. 9, 10, 1710 inc. b y concs. CCCN)” (Cf. Cámara de Apelaciones de Azul, Sala II, “Degano, Alejandro Eduardo y otro c/ Godoy, Juan Cirilo y otros s/ Daños y perjuicios”, causa n° 62.504, 25 de Septiembre de 2018).-</w:t>
      </w:r>
    </w:p>
    <w:p>
      <w:pPr>
        <w:pStyle w:val="[Normal]"/>
        <w:spacing w:line="360" w:lineRule="auto"/>
        <w:ind w:firstLine="1134"/>
        <w:jc w:val="both"/>
        <w:rPr>
          <w:lang w:val="es-AR" w:eastAsia="es-AR" w:bidi="es-AR"/>
        </w:rPr>
      </w:pPr>
      <w:r>
        <w:rPr>
          <w:lang w:val="es-AR" w:eastAsia="es-AR" w:bidi="es-AR"/>
        </w:rPr>
        <w:t xml:space="preserve">A mi criterio, la interpretación propiciada no sólo no es incompatible con el criterio adoptado por la SCJBA en las citadas causas “Rearte”, “Flamenco” y “Canales”, sino que además encuentra apoyatura directa en el voto en disidencia del Dr. Negri en los últimos dos precedentes aludidos, para quien resulta insoslayable tener en cuenta la condición de la avenida como vía de mayor jerarquía a la hora de construir la solución jurídica aplicable al caso: “En conclusión, un principio no puede inferirse sólo de una norma, que lo expresa fragmentariamente (a veces en concurrencia con otros principios), sino de todo el conjunto de normas (…) En esas condiciones, en un examen sistémico cobra entidad el razonamiento de las disposiciones que rigen el tránsito, el cuidado y la diligencia necesarios para que sucesos perjudiciales no se produzcan (…)”. (SCBA, “Flamenco, Ceferino Alfredo contra Giménez, Hugo Daniel s/ Daños y perjuicios”, causa C 121.006, 30 de mayo de 2018).-</w:t>
      </w:r>
    </w:p>
    <w:p>
      <w:pPr>
        <w:pStyle w:val="[Normal]"/>
        <w:spacing w:line="360" w:lineRule="auto"/>
        <w:ind w:firstLine="1134"/>
        <w:jc w:val="both"/>
        <w:rPr>
          <w:lang w:val="es-AR" w:eastAsia="es-AR" w:bidi="es-AR"/>
        </w:rPr>
      </w:pPr>
      <w:r>
        <w:rPr>
          <w:lang w:val="es-AR" w:eastAsia="es-AR" w:bidi="es-AR"/>
        </w:rPr>
        <w:t xml:space="preserve">Por lo que considero que debe prevalecer la interpretación según la cual quien circula por una avenida lo hace asistido por la convicción de que, sin tener un bill de indemnidad, goza de preferencia de paso con relación a los automovilistas que pretenden acceder a ella desde una calle lateral, especialmente cuando la avenida es de doble mano.- </w:t>
      </w:r>
    </w:p>
    <w:p>
      <w:pPr>
        <w:pStyle w:val="[Normal]"/>
        <w:spacing w:line="360" w:lineRule="auto"/>
        <w:ind w:firstLine="1134"/>
        <w:jc w:val="both"/>
        <w:rPr>
          <w:lang w:val="es-AR" w:eastAsia="es-AR" w:bidi="es-AR"/>
        </w:rPr>
      </w:pPr>
      <w:r>
        <w:rPr>
          <w:lang w:val="es-AR" w:eastAsia="es-AR" w:bidi="es-AR"/>
        </w:rPr>
        <w:t xml:space="preserve">En síntesis, relatada la compleja evolución del tema y los precedentes judiciales que le han ido dando forma, se desprende que si bien la doctrina legal de la Corte se halla imperante, la misma no debe ser interpretada en forma inconexa y aislada, sino en diálogo abierto con los principios y reglas generales que rigen el tránsito vehicular como así también con las pautas de integración hermenéutica que la propia Casación ha sentado en esta materia.  Todo ello me lleva a concluir que en el ámbito de la ley de tránsito 13.927, el ejercicio legítimo de la prioridad de paso por quien circula por la derecha al ingresar a una avenida únicamente será reputado tal cuando se encauce dentro del debido respeto al deber genérico de prevención y cuidado (art. 39 inc. b ley 24.449), en la velocidad precautoria que supone no sólo el dominio total del vehículo sino también no entorpecer la circulación (art. 50 de la ley citada) y el deber de evitar daños a las personas o cosas como consecuencia de la circulación (art. 64, segunda parte in fine de la ley citada, y art. 1710 inc. a del Código Civil y Comercial de la Nación). En este sentido, se ha pronunciado este Tribunal en la causa: "AMATO CARLOS RUBEN C/ BATTAGLINO LUIS Y OTROS S/DAÑOS Y PERJ. AUTOM. C/LES. O MUERTE (EXC. ESTADO)", Expte. 3413, del 19 de marzo de 2019, Registro N° 30 /2019).-</w:t>
      </w:r>
    </w:p>
    <w:p>
      <w:pPr>
        <w:pStyle w:val="[Normal]"/>
        <w:spacing w:line="360" w:lineRule="auto"/>
        <w:ind w:firstLine="1134"/>
        <w:jc w:val="both"/>
        <w:rPr>
          <w:lang w:val="es-AR" w:eastAsia="es-AR" w:bidi="es-AR"/>
        </w:rPr>
      </w:pPr>
      <w:r>
        <w:rPr>
          <w:lang w:val="es-AR" w:eastAsia="es-AR" w:bidi="es-AR"/>
        </w:rPr>
        <w:t xml:space="preserve">De lo aquí señalado entonces la aplicación de la normativa que pregona la demandada y que controvierte el quejoso, no ha de ser aceptada en los términos que pretende la primera.-</w:t>
      </w:r>
    </w:p>
    <w:p>
      <w:pPr>
        <w:pStyle w:val="[Normal]"/>
        <w:spacing w:line="360" w:lineRule="auto"/>
        <w:ind w:firstLine="1134"/>
        <w:jc w:val="both"/>
        <w:rPr>
          <w:lang w:val="es-AR" w:eastAsia="es-AR" w:bidi="es-AR"/>
        </w:rPr>
      </w:pPr>
      <w:r>
        <w:rPr>
          <w:lang w:val="es-AR" w:eastAsia="es-AR" w:bidi="es-AR"/>
        </w:rPr>
        <w:t xml:space="preserve">Los elementos analizados permiten concluir entonces en la hipótesis narrada por el actor de que circulando por el Boulevard, al ingresar el automóvil conducido por la demandada desde la derecha, se origina el impacto, y pese a la deficiente pericia mecánica, se puede extraer que </w:t>
      </w:r>
      <w:r>
        <w:rPr>
          <w:i/>
          <w:lang w:val="es-AR" w:eastAsia="es-AR" w:bidi="es-AR"/>
        </w:rPr>
        <w:t xml:space="preserve">"los daños del automóvil se ubican en el sector frontal derecho, que permite presuponer como hipótesis que el automóvil entró en contacto con el conductor del ciclomotor"</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Pero aquí no se agota el tema en punto a la responsabilidad de los intervinientes, sino que por el contrario he de detenerme en la contribución causal del conductor de la moto, para analizar cual ha de ser el reparto de responsabilidad o en su caso la exclusión.- Surge claro que además de que la moto no se encontraba en buen estado, el conductor no tenía carnet de conducir.-</w:t>
      </w:r>
    </w:p>
    <w:p>
      <w:pPr>
        <w:pStyle w:val="[Normal]"/>
        <w:spacing w:line="360" w:lineRule="auto"/>
        <w:ind w:firstLine="1134"/>
        <w:jc w:val="both"/>
        <w:rPr>
          <w:lang w:val="es-AR" w:eastAsia="es-AR" w:bidi="es-AR"/>
        </w:rPr>
      </w:pPr>
      <w:r>
        <w:rPr>
          <w:lang w:val="es-AR" w:eastAsia="es-AR" w:bidi="es-AR"/>
        </w:rPr>
        <w:t xml:space="preserve">En efecto, tal como lo señala la jueza de grado, del acta de procedimiento de fecha 21/06/2019 agregado en la causa penal, se establece que su conductor (actor de autos) no presentó casco, carnet de conducir, seguro no vigente y carencia de espejos retrovisores, lo que motivara el acta de infracción Nro. 0008755 (fs. 40).  Y la propia admisión del actor en su declaración de fecha 16 /08/2019 a fs. 48 de la Investigación Penal preparatoria donde preguntado por la instrucción si tenía licencia de conducir manifestó: "que no, que la tenía vencida".-</w:t>
      </w:r>
    </w:p>
    <w:p>
      <w:pPr>
        <w:pStyle w:val="[Normal]"/>
        <w:spacing w:line="360" w:lineRule="auto"/>
        <w:ind w:firstLine="1134"/>
        <w:jc w:val="both"/>
        <w:rPr>
          <w:lang w:val="es-AR" w:eastAsia="es-AR" w:bidi="es-AR"/>
        </w:rPr>
      </w:pPr>
      <w:r>
        <w:rPr>
          <w:lang w:val="es-AR" w:eastAsia="es-AR" w:bidi="es-AR"/>
        </w:rPr>
        <w:t xml:space="preserve">De ello se desprende por parte del conductor del ciclomotor una clara vulneración de las disposiciones contenidas en la Ley Nacional Nro. 24.449 y Ley Provincial y sus decretos reglamentarios (13.927 y 24.449).-</w:t>
      </w:r>
    </w:p>
    <w:p>
      <w:pPr>
        <w:pStyle w:val="[Normal]"/>
        <w:spacing w:line="360" w:lineRule="auto"/>
        <w:ind w:firstLine="1134"/>
        <w:jc w:val="both"/>
        <w:rPr>
          <w:lang w:val="es-AR" w:eastAsia="es-AR" w:bidi="es-AR"/>
        </w:rPr>
      </w:pPr>
      <w:r>
        <w:rPr>
          <w:lang w:val="es-AR" w:eastAsia="es-AR" w:bidi="es-AR"/>
        </w:rPr>
        <w:t xml:space="preserve">Conforme los precedentes de este Tribunal Reg. 103/2020 y Registro 172/2020 en mi primer voto he señalado con cita de fallo que. "</w:t>
      </w:r>
      <w:r>
        <w:rPr>
          <w:i/>
          <w:lang w:val="es-AR" w:eastAsia="es-AR" w:bidi="es-AR"/>
        </w:rPr>
        <w:t xml:space="preserve">la ausencia de carnet se erige como un fuerte indicio de que el conductor carece de la necesaria habilidad para evitar o impedir las dificultades del tránsito, lo que desde el punto de vista del factor objetivo del riesgo creado posibilita advertir el grado de incidencia que la falta de carnet tiene sobre el infractor" </w:t>
      </w:r>
      <w:r>
        <w:rPr>
          <w:lang w:val="es-AR" w:eastAsia="es-AR" w:bidi="es-AR"/>
        </w:rPr>
        <w:t xml:space="preserve">Cfr. CC0002 AZ 63004 S 1/11/2018 Juez Galdos (SD).-</w:t>
      </w:r>
    </w:p>
    <w:p>
      <w:pPr>
        <w:pStyle w:val="[Normal]"/>
        <w:spacing w:line="360" w:lineRule="auto"/>
        <w:ind w:firstLine="1134"/>
        <w:jc w:val="both"/>
        <w:rPr>
          <w:lang w:val="es-AR" w:eastAsia="es-AR" w:bidi="es-AR"/>
        </w:rPr>
      </w:pPr>
      <w:r>
        <w:rPr>
          <w:lang w:val="es-AR" w:eastAsia="es-AR" w:bidi="es-AR"/>
        </w:rPr>
        <w:t xml:space="preserve">Allí señalé que " Coincido con aquella postura jurisprudencia que pregona que la falta de licencia sólo puede ser ajena a la estructura causal del siniestro en la medida que se demuestre que el infractor poseía idoneidad suficiente, esto es, las habilidades normales para conducir este tipo de vehículos.  Y ello es así dado que es evidente que una persona que no sepa conducir debidamente aumentará en forma notable la probabilidad de ocurrencia del siniestro.  La idoneidad es requerida con carácter de exigencia básica, aprovechando la evaluación que hace la autoridad administrativa a quien se ha delegado la habilitación.  Resulta ciertamente censurable la conducta de aquel que decide sustraerse del poder de policía provincial en la asignación de permisos para circular: el agente elude la evaluación de conocimientos mínimos de las normas de tránsito y de habilidad técnica para conducir un vehículo.  Se trata de una actitud torpe y temeraria dado que el agente asume un riesgo grave para si mismo, pero también es una actitud sustancialmente egoísta, porque unilateral e ilegítimamente pone en riesgo a terceros" CC0102 MP 163694 6/09/2017 Juez Monterisi.-</w:t>
      </w:r>
    </w:p>
    <w:p>
      <w:pPr>
        <w:pStyle w:val="[Normal]"/>
        <w:spacing w:line="360" w:lineRule="auto"/>
        <w:ind w:firstLine="1134"/>
        <w:jc w:val="both"/>
        <w:rPr>
          <w:lang w:val="es-AR" w:eastAsia="es-AR" w:bidi="es-AR"/>
        </w:rPr>
      </w:pPr>
      <w:r>
        <w:rPr>
          <w:lang w:val="es-AR" w:eastAsia="es-AR" w:bidi="es-AR"/>
        </w:rPr>
        <w:t xml:space="preserve">En el mismo sentido se ha dicho "Quien carece de la licencia de conducir lisa y llanamente no debe hacerlo porque la autoridad de control no ha verificado que sepa manejar, que tenga aptitudes psicofísicas y que conozca las normas que regulan el tránsito, y por lo tanto se presume - sin admisión de prueba en contrario - que no sabe ni lo uno ni lo otro.  Es que, las normas reguladoras del tránsito no son letra muerta ni mero material de estudio.  Esa fuerte presunción de que quien carece de carnet habilitante no sabe manejar ni conoce las reglas del tránsito conduce a que debe estar fehacientemente acreditado que absolutamente ninguna relación causal con el accidente tuvo tal falta de habilitación.CC0001 ME 111964 RSD-180-8 S 11/09/2008 Juez IBARLUCIA (SD) Carátula: Barigozzi, Marcos Javier c/Olivera, Carlos Cesar y ots. s/Daños y perjuicios Magistrados Votantes: Ibarlucía-Sanchez-Violini".-</w:t>
      </w:r>
    </w:p>
    <w:p>
      <w:pPr>
        <w:pStyle w:val="[Normal]"/>
        <w:spacing w:line="360" w:lineRule="auto"/>
        <w:ind w:firstLine="1134"/>
        <w:jc w:val="both"/>
        <w:rPr>
          <w:lang w:val="es-AR" w:eastAsia="es-AR" w:bidi="es-AR"/>
        </w:rPr>
      </w:pPr>
      <w:r>
        <w:rPr>
          <w:lang w:val="es-AR" w:eastAsia="es-AR" w:bidi="es-AR"/>
        </w:rPr>
        <w:t xml:space="preserve">Señalé en esos precedentes que aquí replico que "Todo este análisis me lleva sin duda alguna a considerar que en la especie, además de verificarse una falta administrativa, existe una incidencia grave en el punto del riesgo creado como factor objetivo de responsabilidad, en cuanto surge de esta falta de licencia una presunción de impericia conductiva, en tanto la autoridad de control no ha verificado que sepa manejar, que tenga aptitudes psicofísicas y que conozca las reglas de tránsito, por lo tanto cabe presumir que no sabe ni lo uno ni lo otro.-</w:t>
      </w:r>
    </w:p>
    <w:p>
      <w:pPr>
        <w:pStyle w:val="[Normal]"/>
        <w:spacing w:line="360" w:lineRule="auto"/>
        <w:ind w:firstLine="1134"/>
        <w:jc w:val="both"/>
        <w:rPr>
          <w:lang w:val="es-AR" w:eastAsia="es-AR" w:bidi="es-AR"/>
        </w:rPr>
      </w:pPr>
      <w:r>
        <w:rPr>
          <w:lang w:val="es-AR" w:eastAsia="es-AR" w:bidi="es-AR"/>
        </w:rPr>
        <w:t xml:space="preserve">Demuestra además un desapego por el cumplimiento de la ley que no puede ser ignorado, en tanto claramente los  arts. 39 y 40 de la ley 13.927 y sus complementarias 24.449 y 26.363 establecen las condiciones para conducir y los requisitos para circular, previendo el inc a) del art. 40 que el primordial requisito de la circulación es que "su conductor esté habilitado para conducir ese tipo de vehículo y que lleve consigo la licencia correspondiente", b) que porte la cédula de identificación del mismo, c) que lleve el comprobante de seguro, al que refiere el art. 68". Estos presupuestos no fueron cumplidos por quien protagonizó el accidente.-</w:t>
      </w:r>
    </w:p>
    <w:p>
      <w:pPr>
        <w:pStyle w:val="[Normal]"/>
        <w:spacing w:line="360" w:lineRule="auto"/>
        <w:ind w:firstLine="1134"/>
        <w:jc w:val="both"/>
        <w:rPr>
          <w:lang w:val="es-AR" w:eastAsia="es-AR" w:bidi="es-AR"/>
        </w:rPr>
      </w:pPr>
      <w:r>
        <w:rPr>
          <w:lang w:val="es-AR" w:eastAsia="es-AR" w:bidi="es-AR"/>
        </w:rPr>
        <w:t xml:space="preserve">Entonces tratar con la misma vara a quienes dan cumplimiento a la ley y a quienes les resulte indiferente omitiendo su acatamiento en forma deliberada, es una vulneración al principio de legalidad, que no debe pasar desapercibido.-"</w:t>
      </w:r>
    </w:p>
    <w:p>
      <w:pPr>
        <w:pStyle w:val="[Normal]"/>
        <w:spacing w:line="360" w:lineRule="auto"/>
        <w:ind w:firstLine="1134"/>
        <w:jc w:val="both"/>
        <w:rPr>
          <w:lang w:val="es-AR" w:eastAsia="es-AR" w:bidi="es-AR"/>
        </w:rPr>
      </w:pPr>
      <w:r>
        <w:rPr>
          <w:lang w:val="es-AR" w:eastAsia="es-AR" w:bidi="es-AR"/>
        </w:rPr>
        <w:t xml:space="preserve">"Porque tratar igual a los desiguales, es un punto de injusticia. Ello en el entendimiento que el conductor del automóvil tenía sus papeles en regla, su carnet habilitante, su seguro contratado y la actora ninguno de esos supuestos.  Lo contrario sería castigar a quien se somete a las reglas de la sociedad y premiar aquellos que infraccionan las mismas."</w:t>
      </w:r>
    </w:p>
    <w:p>
      <w:pPr>
        <w:pStyle w:val="[Normal]"/>
        <w:spacing w:line="360" w:lineRule="auto"/>
        <w:ind w:firstLine="1134"/>
        <w:jc w:val="both"/>
        <w:rPr>
          <w:lang w:val="es-AR" w:eastAsia="es-AR" w:bidi="es-AR"/>
        </w:rPr>
      </w:pPr>
      <w:r>
        <w:rPr>
          <w:lang w:val="es-AR" w:eastAsia="es-AR" w:bidi="es-AR"/>
        </w:rPr>
        <w:t xml:space="preserve">Y ha sido la demandada quien cumplió con la carga de la prueba de demostrar la ruptura del nexo causal que descansa sobre las motivaciones que he dado (arts. 1734, 1744 y ccs  del CCCN).-</w:t>
      </w:r>
    </w:p>
    <w:p>
      <w:pPr>
        <w:pStyle w:val="[Normal]"/>
        <w:spacing w:line="360" w:lineRule="auto"/>
        <w:ind w:firstLine="1134"/>
        <w:jc w:val="both"/>
        <w:rPr>
          <w:lang w:val="es-AR" w:eastAsia="es-AR" w:bidi="es-AR"/>
        </w:rPr>
      </w:pPr>
      <w:r>
        <w:rPr>
          <w:lang w:val="es-AR" w:eastAsia="es-AR" w:bidi="es-AR"/>
        </w:rPr>
        <w:t xml:space="preserve">El otro punto que también justifica el reparto causal es aquel que asienta sobre la idea de que la prioridad de paso no es absoluta propuesto por el doliente, y es cierto, tal como lo señaláramos en el precedente 2924/12 de este Tribunal juntamente con mi colega Roberto Degleue: "... que la regla "derecha antes que izquierda" no es un dogma, ni representa un bill de indemnidad que autorice al que aparece por la derecha de otro vehículo a arrasar con todo lo que encuentre y provenga de la izquierda.  Ello importaría negar la razón de la obligación común de ambos conductores de reducir sensiblemente la velocidad al llegar a la bocacalle, siendo ello así aun cuando quien accede por la derecha lo haga a una velocidad menor de la máxima permitida, toda vez que no hay limites mínimos prefijados para el deber de reducir la velocidad antes referida y el deber genérico de conducción vehícular previsiona hacerlo con cuidado y prevención, conservando en todo momento (aún cuando se tenga prioridad) el dominio efectivo.-" Reg. 2924/12.-CA Pergamino.-</w:t>
      </w:r>
    </w:p>
    <w:p>
      <w:pPr>
        <w:pStyle w:val="[Normal]"/>
        <w:spacing w:line="360" w:lineRule="auto"/>
        <w:ind w:firstLine="1134"/>
        <w:jc w:val="both"/>
        <w:rPr>
          <w:lang w:val="es-AR" w:eastAsia="es-AR" w:bidi="es-AR"/>
        </w:rPr>
      </w:pPr>
      <w:r>
        <w:rPr>
          <w:lang w:val="es-AR" w:eastAsia="es-AR" w:bidi="es-AR"/>
        </w:rPr>
        <w:t xml:space="preserve">Entonces la prioridad de paso del conductor de la motocicleta no lo eximía de extremar los recaudos al llegar a una intersección en pleno ejido urbano, es decir conservar el dominio de su ciclomotor, estar atento a las vicisitudes del tránsito, circular con cuidado y previsión en todo momento. </w:t>
      </w:r>
    </w:p>
    <w:p>
      <w:pPr>
        <w:pStyle w:val="[Normal]"/>
        <w:spacing w:line="360" w:lineRule="auto"/>
        <w:ind w:firstLine="1134"/>
        <w:jc w:val="both"/>
        <w:rPr>
          <w:lang w:val="es-AR" w:eastAsia="es-AR" w:bidi="es-AR"/>
        </w:rPr>
      </w:pPr>
      <w:r>
        <w:rPr>
          <w:lang w:val="es-AR" w:eastAsia="es-AR" w:bidi="es-AR"/>
        </w:rPr>
        <w:t xml:space="preserve">A ello se suma que además de conducir sin carnet, no tenía casco y el estado de su motociclo descripto en la causa penal apuntada, hacían casi imposible que pudiera salir a la calle en esas condiciones.-</w:t>
      </w:r>
    </w:p>
    <w:p>
      <w:pPr>
        <w:pStyle w:val="[Normal]"/>
        <w:spacing w:line="360" w:lineRule="auto"/>
        <w:ind w:firstLine="1134"/>
        <w:jc w:val="both"/>
        <w:rPr>
          <w:lang w:val="es-AR" w:eastAsia="es-AR" w:bidi="es-AR"/>
        </w:rPr>
      </w:pPr>
      <w:r>
        <w:rPr>
          <w:lang w:val="es-AR" w:eastAsia="es-AR" w:bidi="es-AR"/>
        </w:rPr>
        <w:t xml:space="preserve">Los arts. 39 y 40 de la ley 13.927 y sus complementarias 24.449 y 26.363 establecen claramente las condiciones para conducir y los requisitos para circular, previendo el inc a) del art. 40 que el primordial requisito de la circulación es que "su conductor esté habilitado para conducir ese tipo de vehículo y que lleve consigo la licencia correspondiente", b) que porte la cédula de identificación del mismo, c) que lleve el comprobante de seguro, al que refiere el art. 68".  Estos presupuestos no fueron cumplidos por quien protagonizó el accidente.-</w:t>
      </w:r>
    </w:p>
    <w:p>
      <w:pPr>
        <w:pStyle w:val="[Normal]"/>
        <w:spacing w:line="360" w:lineRule="auto"/>
        <w:ind w:firstLine="1134"/>
        <w:jc w:val="both"/>
        <w:rPr>
          <w:lang w:val="es-AR" w:eastAsia="es-AR" w:bidi="es-AR"/>
        </w:rPr>
      </w:pPr>
      <w:r>
        <w:rPr>
          <w:lang w:val="es-AR" w:eastAsia="es-AR" w:bidi="es-AR"/>
        </w:rPr>
        <w:t xml:space="preserve">La parte actora en su responde del escrito de agravios pretende minimizar estas circunstancias empero, si bien cierto es que no inciden en la cadena causal en forma relevante, evidencian estos incumplimientos una imprudencia y negligencia en la conducción de la cosa generadora de riesgos y graves infracciones administrativas que no pueden pasar desapercibidas al ponerse en franca vulneración de la normativa vehicular, de lo cual desprende que esa conducta disvaliosa no puede ser omitida por el derecho o causar indiferencia debiendo soportar una proporción en la responsabilidad.- (cfr. Causa 1897/13 de este mismo Tribunal).-</w:t>
      </w:r>
    </w:p>
    <w:p>
      <w:pPr>
        <w:pStyle w:val="[Normal]"/>
        <w:spacing w:line="360" w:lineRule="auto"/>
        <w:ind w:firstLine="1134"/>
        <w:jc w:val="both"/>
        <w:rPr>
          <w:lang w:val="es-AR" w:eastAsia="es-AR" w:bidi="es-AR"/>
        </w:rPr>
      </w:pPr>
      <w:r>
        <w:rPr>
          <w:lang w:val="es-AR" w:eastAsia="es-AR" w:bidi="es-AR"/>
        </w:rPr>
        <w:t xml:space="preserve">Asimismo se verifica el incumplimiento del art. 65 de la citada normativa de tránsito que prescribe como obligatorio a los partícipes de un accidente de tránsito a) detenerse inmediatamente y b) suministrar los datos de su licencia de conductor y del seguro obligatorio a la otra parte y a la autoridad interviniente.-</w:t>
      </w:r>
    </w:p>
    <w:p>
      <w:pPr>
        <w:pStyle w:val="[Normal]"/>
        <w:spacing w:line="360" w:lineRule="auto"/>
        <w:ind w:firstLine="1134"/>
        <w:jc w:val="both"/>
        <w:rPr>
          <w:lang w:val="es-AR" w:eastAsia="es-AR" w:bidi="es-AR"/>
        </w:rPr>
      </w:pPr>
      <w:r>
        <w:rPr>
          <w:lang w:val="es-AR" w:eastAsia="es-AR" w:bidi="es-AR"/>
        </w:rPr>
        <w:t xml:space="preserve">En síntesis, de todo el análisis realizado, desprendo que en la producción del siniestro se ha verificado un accionar reprochable de la propia víctima que ya fuera descripta, frente a la cual no se puede permanecer indiferente, atribuyéndole un 70% de aporte relevante con su propia conducta; debiendo por ende la parte demandada responder por el 30% restante.-</w:t>
      </w:r>
    </w:p>
    <w:p>
      <w:pPr>
        <w:pStyle w:val="[Normal]"/>
        <w:spacing w:line="360" w:lineRule="auto"/>
        <w:ind w:firstLine="1134"/>
        <w:jc w:val="both"/>
        <w:rPr>
          <w:lang w:val="es-AR" w:eastAsia="es-AR" w:bidi="es-AR"/>
        </w:rPr>
      </w:pPr>
      <w:r>
        <w:rPr>
          <w:lang w:val="es-AR" w:eastAsia="es-AR" w:bidi="es-AR"/>
        </w:rPr>
        <w:t xml:space="preserve">Definido entonces el capítulo de la responsabilidad y el reparto causal, ( arts. 1716, 1721, 1722, 1723, 1724, 1758, 1769 y ccs del CCCN); voy a atender ahora  a los rubros reclamados y su cuantificación.-</w:t>
      </w:r>
    </w:p>
    <w:p>
      <w:pPr>
        <w:pStyle w:val="[Normal]"/>
        <w:spacing w:line="360" w:lineRule="auto"/>
        <w:ind w:firstLine="1134"/>
        <w:jc w:val="both"/>
        <w:rPr>
          <w:lang w:val="es-AR" w:eastAsia="es-AR" w:bidi="es-AR"/>
        </w:rPr>
      </w:pPr>
      <w:r>
        <w:rPr>
          <w:lang w:val="es-AR" w:eastAsia="es-AR" w:bidi="es-AR"/>
        </w:rPr>
        <w:t xml:space="preserve">La prueba sobre los mismos está a cargo de quien los invoca (art. 375 del CPCC) y su doctrina.-</w:t>
      </w:r>
    </w:p>
    <w:p>
      <w:pPr>
        <w:pStyle w:val="[Normal]"/>
        <w:spacing w:line="360" w:lineRule="auto"/>
        <w:ind w:firstLine="1134"/>
        <w:jc w:val="both"/>
        <w:rPr>
          <w:lang w:val="es-AR" w:eastAsia="es-AR" w:bidi="es-AR"/>
        </w:rPr>
      </w:pPr>
      <w:r>
        <w:rPr>
          <w:lang w:val="es-AR" w:eastAsia="es-AR" w:bidi="es-AR"/>
        </w:rPr>
        <w:t xml:space="preserve">En punto a la incapacidad, se puede acudir a la pericia médica brindada en autos, por el perito Juan Ignacio Cosentino, especialista en ortopedia y traumatología, quien determina en la revisación la edad del peritado (41 años), la secuencia que describe de haber sufrido un accidente en la vía pública, estableciendo que "a consecuencia de la lesión sufrida y motivo de autos, esguince de tobillo derecho, no se han producido lesiones asociadas que compliquen las superficies articulares y tampoco se objetiva inestabilidad, por ello acude al baremo de Altube-Rinaldi, tomando en cuenta para determinar su incapacidad la limitación de la movilidad del tobillo estableciendo una incapacidad parcial y permanente del 3%.-</w:t>
      </w:r>
    </w:p>
    <w:p>
      <w:pPr>
        <w:pStyle w:val="[Normal]"/>
        <w:spacing w:line="360" w:lineRule="auto"/>
        <w:ind w:firstLine="1134"/>
        <w:jc w:val="both"/>
        <w:rPr>
          <w:lang w:val="es-AR" w:eastAsia="es-AR" w:bidi="es-AR"/>
        </w:rPr>
      </w:pPr>
      <w:r>
        <w:rPr>
          <w:lang w:val="es-AR" w:eastAsia="es-AR" w:bidi="es-AR"/>
        </w:rPr>
        <w:t xml:space="preserve">No hay probanzas que neutralicen las conclusiones ni permitan apartarme del dictamen reseñado, por lo cual estaré a sus conclusiones recibiendo ese 3% de incapacidad.- </w:t>
      </w:r>
    </w:p>
    <w:p>
      <w:pPr>
        <w:pStyle w:val="[Normal]"/>
        <w:spacing w:line="360" w:lineRule="auto"/>
        <w:ind w:firstLine="1134"/>
        <w:jc w:val="both"/>
        <w:rPr>
          <w:lang w:val="es-AR" w:eastAsia="es-AR" w:bidi="es-AR"/>
        </w:rPr>
      </w:pPr>
      <w:r>
        <w:rPr>
          <w:lang w:val="es-AR" w:eastAsia="es-AR" w:bidi="es-AR"/>
        </w:rPr>
        <w:t xml:space="preserve">En orden a la determinación de la base remuneratoria que habrá de tener en cuenta como premisa de cálculo, si bien es cierto que el actor dice en el libelo de demanda ser mensajero invocando una remuneración mensual de $ 15.000 al tiempo de interponerse la demanda, no hay ninguna prueba que pueda corroborar tal aserto.  Por lo que para cuantificar tomaré el salario mínimo vital y móvil, como pauta básica y evaluando que el mismo a la fecha actual queda determinado en la suma de pesos veinte mil quinientos ochenta y siete ($ 20.587,5) -ver resolución 4/2020-.</w:t>
      </w:r>
    </w:p>
    <w:p>
      <w:pPr>
        <w:pStyle w:val="[Normal]"/>
        <w:spacing w:line="360" w:lineRule="auto"/>
        <w:ind w:firstLine="1134"/>
        <w:jc w:val="both"/>
        <w:rPr>
          <w:lang w:val="es-AR" w:eastAsia="es-AR" w:bidi="es-AR"/>
        </w:rPr>
      </w:pPr>
      <w:r>
        <w:rPr>
          <w:lang w:val="es-AR" w:eastAsia="es-AR" w:bidi="es-AR"/>
        </w:rPr>
        <w:t xml:space="preserve">Sobre este punto, la Sala II de la Cámara de Apelaciones Civil y Comercial de Mar del Plata ha sostenido que: </w:t>
      </w:r>
      <w:r>
        <w:rPr>
          <w:i/>
          <w:lang w:val="es-AR" w:eastAsia="es-AR" w:bidi="es-AR"/>
        </w:rPr>
        <w:t xml:space="preserve">"Cuando se carece de una pauta económica sobre la cual evaluar la incapacidad, se recurre al salario mínimo vital y móvil como índice orientador ya que es totalmente incierto el monto de los ingresos, y sobre ese monto se obtiene una suma que puede ser apreciada en más o en menos cuando las circunstancias así lo autorizan</w:t>
      </w:r>
      <w:r>
        <w:rPr>
          <w:lang w:val="es-AR" w:eastAsia="es-AR" w:bidi="es-AR"/>
        </w:rPr>
        <w:t xml:space="preserve">" (CC0102 MP., autos "SAUBIDET, ELSA RENÉ C/ EMPRESA DE TRANSPORTE 12 DE OCTUBRE SRL Y OTRO S/ DAÑOS Y PERJUICIOS", CC0102 MP 160665 299-S S, 29/11/2016; Sumario Juba:B5025405 ).-</w:t>
      </w:r>
    </w:p>
    <w:p>
      <w:pPr>
        <w:pStyle w:val="[Normal]"/>
        <w:spacing w:line="360" w:lineRule="auto"/>
        <w:ind w:firstLine="1134"/>
        <w:jc w:val="both"/>
        <w:rPr>
          <w:lang w:val="es-AR" w:eastAsia="es-AR" w:bidi="es-AR"/>
        </w:rPr>
      </w:pPr>
      <w:r>
        <w:rPr>
          <w:lang w:val="es-AR" w:eastAsia="es-AR" w:bidi="es-AR"/>
        </w:rPr>
        <w:t xml:space="preserve">Finalmente, ponderaré como tercer variable de relevancia en orden a la determinación del daño por incapacidad la edad de la víctima al momento del hecho (40 años) y estableceré la edad laboral límite en 65 años. En relación a este último aspecto, he de señalar que: si bien este Tribunal ha admitido la prolongación de la edad laboral útil más allá del término inicial del etapa jubilatoria, ello ha sido así cuando obran además elementos concretos relacionados con la situación particular del damnificado que permitan suponer con un grado aceptable de razonabilidad la prolongación del término mencionado.  Así, por ejemplo, en la causa "Plaich", esta Cámara hizo mérito de la referida extensión temporal de la edad laboral útil, pero para ello no se apoyó en referencias abstractas o genéricas, sino que lo hizo con base en las concretas probanzas recolectadas: </w:t>
      </w:r>
      <w:r>
        <w:rPr>
          <w:i/>
          <w:lang w:val="es-AR" w:eastAsia="es-AR" w:bidi="es-AR"/>
        </w:rPr>
        <w:t xml:space="preserve">"Del análisis conglobado de la prueba testimonial y pericial se infiere pues que la actora, pese a sus 61 años de edad, era una persona pletórica de vitalidad, con una capacidad de contracción al trabajo considerable y, por ende, con una expectativa de continuidad laboral que permite razonablemente suponer que su actividad no cesaría con el cumplimiento de la edad jubilatoria sino que se prolongaría por varios años más, máxime teniendo en cuenta que era ella quien afrontaba los gastos del hogar familiar"</w:t>
      </w:r>
      <w:r>
        <w:rPr>
          <w:lang w:val="es-AR" w:eastAsia="es-AR" w:bidi="es-AR"/>
        </w:rPr>
        <w:t xml:space="preserve"> (Cámara de Apelaciones en lo Civil y Comercial de Pergamino, </w:t>
      </w:r>
      <w:r>
        <w:rPr>
          <w:i/>
          <w:lang w:val="es-AR" w:eastAsia="es-AR" w:bidi="es-AR"/>
        </w:rPr>
        <w:t xml:space="preserve">"</w:t>
      </w:r>
      <w:r>
        <w:rPr>
          <w:i/>
          <w:color w:val="000000"/>
          <w:lang w:val="es-AR" w:eastAsia="es-AR" w:bidi="es-AR"/>
        </w:rPr>
        <w:t xml:space="preserve">PLAICH NELIDA TERESA C/ CONTINO MARIA DANIELA Y OTRO/A S/ DAÑOS Y PERJ. AUTOM. C/LES. O MUERTE (EXC. ESTADO)</w:t>
      </w:r>
      <w:r>
        <w:rPr>
          <w:i/>
          <w:lang w:val="es-AR" w:eastAsia="es-AR" w:bidi="es-AR"/>
        </w:rPr>
        <w:t xml:space="preserve">", c</w:t>
      </w:r>
      <w:r>
        <w:rPr>
          <w:lang w:val="es-AR" w:eastAsia="es-AR" w:bidi="es-AR"/>
        </w:rPr>
        <w:t xml:space="preserve">ausa N° </w:t>
      </w:r>
      <w:r>
        <w:rPr>
          <w:i/>
          <w:color w:val="000000"/>
          <w:lang w:val="es-AR" w:eastAsia="es-AR" w:bidi="es-AR"/>
        </w:rPr>
        <w:t xml:space="preserve">3785-19</w:t>
      </w:r>
      <w:r>
        <w:rPr>
          <w:lang w:val="es-AR" w:eastAsia="es-AR" w:bidi="es-AR"/>
        </w:rPr>
        <w:t xml:space="preserve">, 16 de Abril de 2020).-</w:t>
      </w:r>
    </w:p>
    <w:p>
      <w:pPr>
        <w:pStyle w:val="[Normal]"/>
        <w:spacing w:line="360" w:lineRule="auto"/>
        <w:ind w:firstLine="1134"/>
        <w:jc w:val="both"/>
        <w:rPr>
          <w:lang w:val="es-AR" w:eastAsia="es-AR" w:bidi="es-AR"/>
        </w:rPr>
      </w:pPr>
      <w:r>
        <w:rPr>
          <w:lang w:val="es-AR" w:eastAsia="es-AR" w:bidi="es-AR"/>
        </w:rPr>
        <w:t xml:space="preserve">A la luz de lo expuesto, y dada la ausencia de una fórmula o método de cuantificación explicitado en la sentencia apelada -dada la desestimación de la pretensión actoral-, resolveré las variables señaladas conforme a la fórmula que se agrega como archivo adjunto a la presente.-</w:t>
      </w:r>
    </w:p>
    <w:p>
      <w:pPr>
        <w:pStyle w:val="[Normal]"/>
        <w:spacing w:line="360" w:lineRule="auto"/>
        <w:ind w:firstLine="1134"/>
        <w:jc w:val="both"/>
        <w:rPr>
          <w:lang w:val="es-AR" w:eastAsia="es-AR" w:bidi="es-AR"/>
        </w:rPr>
      </w:pPr>
      <w:r>
        <w:rPr>
          <w:lang w:val="es-AR" w:eastAsia="es-AR" w:bidi="es-AR"/>
        </w:rPr>
        <w:t xml:space="preserve">En virtud de ello, la indemnización por incapacidad ha quedado cifrada en la suma de $ 100.768,39.  En esa medida, haré lugar parcialmente lugar al segundo aspecto del agravio expresado modificando en consecuencia la cuantificación del rubro efectuada en la instancia de origen. El daño moral, el que no necesita ser probado en cuanto a la procedencia en virtud de su carácter in re ipsa, se fija en el importe de pesos $ 40.000, teniendo en cuenta para su graduación la naturaleza traumática del accidente, las dolencias presumiblemente experimentadas por el actor como así también las dificultades, angustias y molestias que le trajo aparejado el proceso de recuperación.- </w:t>
      </w:r>
    </w:p>
    <w:p>
      <w:pPr>
        <w:pStyle w:val="[Normal]"/>
        <w:spacing w:line="360" w:lineRule="auto"/>
        <w:ind w:firstLine="1134"/>
        <w:jc w:val="both"/>
        <w:rPr>
          <w:lang w:val="es-AR" w:eastAsia="es-AR" w:bidi="es-AR"/>
        </w:rPr>
      </w:pPr>
      <w:r>
        <w:rPr>
          <w:lang w:val="es-AR" w:eastAsia="es-AR" w:bidi="es-AR"/>
        </w:rPr>
        <w:t xml:space="preserve">También he de recibir los gastos médicos, farmacéuticos y de traslado, en cuanto de la documentación acompañada a fs. 22/24 se puede inferir que al acudir al Hospital San José, si bien allí se atiende gratuitamente, se deben haber producido una serie de gastos no contemplados en la gratuidad, teniendo en cuenta la índole mínima de la lesión.-</w:t>
      </w:r>
    </w:p>
    <w:p>
      <w:pPr>
        <w:pStyle w:val="[Normal]"/>
        <w:spacing w:line="360" w:lineRule="auto"/>
        <w:ind w:firstLine="1134"/>
        <w:jc w:val="both"/>
        <w:rPr>
          <w:lang w:val="es-AR" w:eastAsia="es-AR" w:bidi="es-AR"/>
        </w:rPr>
      </w:pPr>
      <w:r>
        <w:rPr>
          <w:color w:val="000000"/>
          <w:lang w:val="es-AR" w:eastAsia="es-AR" w:bidi="es-AR"/>
        </w:rPr>
        <w:t xml:space="preserve">Cabe destacar que estas erogaciones ingresan categoría indemnizatoria de gasto de curación y, en virtud de ello, resultan favorecida por la presunción de daño establecida en el art. 1746 atento a la relación entre </w:t>
      </w:r>
      <w:r>
        <w:rPr>
          <w:i/>
          <w:color w:val="000000"/>
          <w:lang w:val="es-AR" w:eastAsia="es-AR" w:bidi="es-AR"/>
        </w:rPr>
        <w:t xml:space="preserve">"la índole de las lesiones y la incapacidad"</w:t>
      </w:r>
      <w:r>
        <w:rPr>
          <w:color w:val="000000"/>
          <w:lang w:val="es-AR" w:eastAsia="es-AR" w:bidi="es-AR"/>
        </w:rPr>
        <w:t xml:space="preserve"> que en la especie resulta evidente por lo que se verifica el presupuesto habilitante de la dispensa probatoria.  </w:t>
      </w:r>
      <w:r>
        <w:rPr>
          <w:lang w:val="es-AR" w:eastAsia="es-AR" w:bidi="es-AR"/>
        </w:rPr>
        <w:t xml:space="preserve">En virtud de ello, he de cifrar este rubro en el importe de pesos cinco mil ($ 5.000).-</w:t>
      </w:r>
    </w:p>
    <w:p>
      <w:pPr>
        <w:pStyle w:val="[Normal]"/>
        <w:spacing w:line="360" w:lineRule="auto"/>
        <w:ind w:firstLine="1134"/>
        <w:jc w:val="both"/>
        <w:rPr>
          <w:lang w:val="es-AR" w:eastAsia="es-AR" w:bidi="es-AR"/>
        </w:rPr>
      </w:pPr>
      <w:r>
        <w:rPr>
          <w:lang w:val="es-AR" w:eastAsia="es-AR" w:bidi="es-AR"/>
        </w:rPr>
        <w:t xml:space="preserve">Los demás rubros invocados, no han sido acreditados de ningún modo.  Con lo cual no habiendo alcanzado la satisfacción del imperativo del propio interés, no han de recibirse (art. 375 del CPCC a contrario sensu).-</w:t>
      </w:r>
    </w:p>
    <w:p>
      <w:pPr>
        <w:pStyle w:val="[Normal]"/>
        <w:spacing w:line="360" w:lineRule="auto"/>
        <w:ind w:firstLine="1134"/>
        <w:jc w:val="both"/>
        <w:rPr>
          <w:lang w:val="es-AR" w:eastAsia="es-AR" w:bidi="es-AR"/>
        </w:rPr>
      </w:pPr>
      <w:r>
        <w:rPr>
          <w:lang w:val="es-AR" w:eastAsia="es-AR" w:bidi="es-AR"/>
        </w:rPr>
        <w:t xml:space="preserve">Con respecto al reclamo de la coactora, quien invocara su calidad de propietaria del ciclomotor siniestrado, no encuentro ningún tipo de prueba acerca de los mismos, no se han acompañado presupuestos que indiquen la afectación como así el importe ni tampoco ninguna que aluda a otras afectaciones patrimoniales, y mediante escrito electrónico de la propia parte de fecha 14/08/2020 se ha desistido de la prueba confesional y testimonial.- La admisión de los rubros que afectan el patrimonio de una persona está sujeta a la prueba que se rinda (art. 375 del CPCC) y en caso de no alcanzarse una satisfacción probatoria que como imperativo del propio interés está en cabeza de quien lo invoca, habrá de rechazarse el pedido de la titular con respecto a los invocados.-</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Roberto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w:t>
      </w:r>
    </w:p>
    <w:p>
      <w:pPr>
        <w:pStyle w:val="[Normal]"/>
        <w:spacing w:line="360" w:lineRule="auto"/>
        <w:ind w:firstLine="1134"/>
        <w:jc w:val="both"/>
        <w:rPr>
          <w:lang w:val="es-AR" w:eastAsia="es-AR" w:bidi="es-AR"/>
        </w:rPr>
      </w:pPr>
      <w:r>
        <w:rPr>
          <w:lang w:val="es-AR" w:eastAsia="es-AR" w:bidi="es-AR"/>
        </w:rPr>
        <w:t xml:space="preserve">Acoger el recurso de apelación deducido por la parte actora, revocando la sentencia de primera instancia.-</w:t>
      </w:r>
    </w:p>
    <w:p>
      <w:pPr>
        <w:pStyle w:val="[Normal]"/>
        <w:spacing w:line="360" w:lineRule="auto"/>
        <w:ind w:firstLine="1134"/>
        <w:jc w:val="both"/>
        <w:rPr>
          <w:lang w:val="es-AR" w:eastAsia="es-AR" w:bidi="es-AR"/>
        </w:rPr>
      </w:pPr>
      <w:r>
        <w:rPr>
          <w:lang w:val="es-AR" w:eastAsia="es-AR" w:bidi="es-AR"/>
        </w:rPr>
        <w:t xml:space="preserve">En consecuencia hacer lugar parcialmente a la demanda entablada por la parte actora contra Graciela Gamboa y La Segunda Compañía de Seguros Limitada, condenándolos a abonar dentro del plazo de 10 días a partir de la  presente, las sumas correspondientes a los rubros  incapacidad parcial y permanente ($ 100.768,39), daño moral ($ 40.000), gastos médicos, farmacéuticos y de traslado ($ 5.000), con más los intereses que se fijan a una tasa pura del 6% desde el momento del hecho (25/5/2019) hasta el dictado de la presente sentencia y de allí en adelante a la tasa pasiva más alta del Banco de la Provincia de Buenos Aires en los depósitos a treinta días.-</w:t>
      </w:r>
    </w:p>
    <w:p>
      <w:pPr>
        <w:pStyle w:val="[Normal]"/>
        <w:spacing w:line="360" w:lineRule="auto"/>
        <w:ind w:firstLine="1134"/>
        <w:jc w:val="both"/>
        <w:rPr>
          <w:lang w:val="es-AR" w:eastAsia="es-AR" w:bidi="es-AR"/>
        </w:rPr>
      </w:pPr>
      <w:r>
        <w:rPr>
          <w:lang w:val="es-AR" w:eastAsia="es-AR" w:bidi="es-AR"/>
        </w:rPr>
        <w:t xml:space="preserve">El porcentaje de responsabilidad atribuido a la parte demandada es del 30%, debiendo responder en esa porción sobre la totalidad de las sumas aquí dadas, conforme se reseña en los considerandos del presente cuando se analiza el reparto causal y sus motivaciones.-</w:t>
      </w:r>
    </w:p>
    <w:p>
      <w:pPr>
        <w:pStyle w:val="[Normal]"/>
        <w:spacing w:line="360" w:lineRule="auto"/>
        <w:ind w:firstLine="1134"/>
        <w:jc w:val="both"/>
        <w:rPr>
          <w:lang w:val="es-AR" w:eastAsia="es-AR" w:bidi="es-AR"/>
        </w:rPr>
      </w:pPr>
      <w:r>
        <w:rPr>
          <w:lang w:val="es-AR" w:eastAsia="es-AR" w:bidi="es-AR"/>
        </w:rPr>
        <w:t xml:space="preserve">Costas de Alzada, a la parte demandada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y peritos has tanto obre en autos regulación de primera instancia (art. 31 ley arancelaria).-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Bernardo Louise y Roberto Degleue por análogos fundamentos votaron en el mismo sentido.-</w:t>
      </w:r>
    </w:p>
    <w:p>
      <w:pPr>
        <w:pStyle w:val="[Normal]"/>
        <w:spacing w:line="360" w:lineRule="auto"/>
        <w:ind w:firstLine="1134"/>
        <w:jc w:val="both"/>
        <w:rPr>
          <w:b/>
          <w:u w:val="single"/>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Acoger el recurso de apelación deducido por la parte actora, revocando la sentencia de primera instancia.-</w:t>
      </w:r>
    </w:p>
    <w:p>
      <w:pPr>
        <w:pStyle w:val="[Normal]"/>
        <w:spacing w:line="360" w:lineRule="auto"/>
        <w:ind w:firstLine="1134"/>
        <w:jc w:val="both"/>
        <w:rPr>
          <w:lang w:val="es-AR" w:eastAsia="es-AR" w:bidi="es-AR"/>
        </w:rPr>
      </w:pPr>
      <w:r>
        <w:rPr>
          <w:lang w:val="es-AR" w:eastAsia="es-AR" w:bidi="es-AR"/>
        </w:rPr>
        <w:t xml:space="preserve"> En consecuencia hacer lugar parcialmente a la demanda entablada por la parte actora contra Graciela Gamboa y La Segunda Compañía de Seguros Limitada, condenándolos a abonar dentro del plazo de 10 días a partir de la  presente, las sumas correspondientes a los rubros  incapacidad parcial y permanente ($ 100.768,39), daño moral ($ 40.000), gastos médicos, farmacéuticos y de traslado ($ 5.000), con más los intereses que se fijan a una tasa pura del 6% desde el momento del hecho (25/5/2019) hasta el dictado de la presente sentencia y de allí en adelante a la tasa pasiva más alta del Banco de la Provincia de Buenos Aires en los depósitos a treinta días.-</w:t>
      </w:r>
    </w:p>
    <w:p>
      <w:pPr>
        <w:pStyle w:val="[Normal]"/>
        <w:spacing w:line="360" w:lineRule="auto"/>
        <w:ind w:firstLine="1134"/>
        <w:jc w:val="both"/>
        <w:rPr>
          <w:lang w:val="es-AR" w:eastAsia="es-AR" w:bidi="es-AR"/>
        </w:rPr>
      </w:pPr>
      <w:r>
        <w:rPr>
          <w:lang w:val="es-AR" w:eastAsia="es-AR" w:bidi="es-AR"/>
        </w:rPr>
        <w:t xml:space="preserve">El porcentaje de responsabilidad atribuido a la parte demandada es del 30%, debiendo responder en esa porción sobre la totalidad de las sumas aquí dadas, conforme se reseña en los considerandos del presente cuando se analiza el reparto causal y sus motivaciones .-</w:t>
      </w:r>
    </w:p>
    <w:p>
      <w:pPr>
        <w:pStyle w:val="[Normal]"/>
        <w:spacing w:line="360" w:lineRule="auto"/>
        <w:ind w:firstLine="1134"/>
        <w:jc w:val="both"/>
        <w:rPr>
          <w:lang w:val="es-AR" w:eastAsia="es-AR" w:bidi="es-AR"/>
        </w:rPr>
      </w:pPr>
      <w:r>
        <w:rPr>
          <w:lang w:val="es-AR" w:eastAsia="es-AR" w:bidi="es-AR"/>
        </w:rPr>
        <w:t xml:space="preserve">Costas de Alzada, a la parte demandada (art. 68 del CPCC y su doctrina).-</w:t>
      </w:r>
    </w:p>
    <w:p>
      <w:pPr>
        <w:pStyle w:val="[Normal]"/>
        <w:spacing w:line="360" w:lineRule="auto"/>
        <w:ind w:firstLine="1134"/>
        <w:jc w:val="both"/>
        <w:rPr>
          <w:lang w:val="es-AR" w:eastAsia="es-AR" w:bidi="es-AR"/>
        </w:rPr>
      </w:pPr>
      <w:r>
        <w:rPr>
          <w:lang w:val="es-AR" w:eastAsia="es-AR" w:bidi="es-AR"/>
        </w:rPr>
        <w:t xml:space="preserve">Diferir la regulación de honorarios y peritos has tanto obre en autos regulación de primera instancia (art. 31 ley arancelaria).-</w:t>
      </w:r>
    </w:p>
    <w:p>
      <w:pPr>
        <w:pStyle w:val="[Normal]"/>
        <w:spacing w:line="360" w:lineRule="auto"/>
        <w:ind w:firstLine="1134"/>
        <w:jc w:val="both"/>
        <w:rPr>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spacing w:line="360" w:lineRule="auto"/>
        <w:ind w:firstLine="1134"/>
        <w:rPr>
          <w:color w:val="000000"/>
          <w:lang w:val="es-AR" w:eastAsia="es-AR" w:bidi="es-AR"/>
        </w:rPr>
      </w:pPr>
    </w:p>
    <w:p>
      <w:pPr>
        <w:pStyle w:val="[Normal]"/>
        <w:rPr>
          <w:color w:val="000000"/>
          <w:lang w:val="es-AR" w:eastAsia="es-AR" w:bidi="es-AR"/>
        </w:rPr>
      </w:pPr>
      <w:r>
        <w:rPr>
          <w:color w:val="000000"/>
          <w:lang w:val="es-AR" w:eastAsia="es-AR" w:bidi="es-AR"/>
        </w:rPr>
        <w:t xml:space="preserve">23313641449@NOTIFICACIONES.SCBA.GOV.AR</w:t>
      </w:r>
    </w:p>
    <w:p>
      <w:pPr>
        <w:pStyle w:val="[Normal]"/>
        <w:rPr>
          <w:color w:val="000000"/>
          <w:lang w:val="es-AR" w:eastAsia="es-AR" w:bidi="es-AR"/>
        </w:rPr>
      </w:pPr>
      <w:r>
        <w:rPr>
          <w:color w:val="000000"/>
          <w:lang w:val="es-AR" w:eastAsia="es-AR" w:bidi="es-AR"/>
        </w:rPr>
        <w:t xml:space="preserve">20124348782@NOTIFICACIONES.SCBA.GOV.AR</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p>
    <w:p>
      <w:pPr>
        <w:pStyle w:val="[Normal]"/>
        <w:spacing w:line="36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02/03/2021 09:39:51 -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02/03/2021 09:52:32 -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02/03/2021 09:56:44 -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02/03/2021 10:09:42 - MOREA Adrian Oscar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20124348782@NOTIFICACIONES.SCBA.GOV.AR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23313641449@NOTIFICACIONES.SCBA.GOV.AR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‰5a")è%%,èOŠ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216502090005051200</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CONTIENE 1 ARCHIVO ADJUNTO</w:t>
      </w:r>
    </w:p>
    <w:p>
      <w:pPr>
        <w:pStyle w:val="[Normal]"/>
        <w:spacing w:line="360" w:lineRule="auto"/>
        <w:ind w:firstLine="1134"/>
      </w:pPr>
    </w:p>
    <w:sectPr>
      <w:headerReference w:type="default" r:id="rId00004"/>
      <w:footerReference w:type="default" r:id="rId00005"/>
      <w:pgSz w:w="11907" w:h="16834"/>
      <w:pgMar w:top="3146"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4105 - 20 - MOYANO ALDANA JANET Y OTRO/A C/ GAMBOA GRACIELA SUSANA Y OTRO/A S/ DAÑOS Y PERJ.AUTOM. C/LES. O MUERTE (EXC.ESTADO)   </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‰5a")è%%,èOŠ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216502090005051200</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 w:type="paragraph" w:styleId="Normal">
    <w:name w:val="Normal"/>
    <w:next w:val="Normal"/>
    <w:qFormat/>
    <w:pPr>
      <w:widowControl w:val="off"/>
      <w:shd w:val="clear" w:color="auto" w:fill="auto"/>
      <w:spacing w:before="100" w:after="100" w:line="240" w:lineRule="auto"/>
      <w:ind w:left="0" w:right="0" w:firstLine="0"/>
      <w:jc w:val="left"/>
    </w:pPr>
    <w:rPr>
      <w:rFonts w:ascii="Times New Roman" w:hAnsi="Times New Roman" w:eastAsia="Times New Roman" w:cs="Times New Roman"/>
      <w:b w:val="off"/>
      <w:bCs w:val="off"/>
      <w:i w:val="off"/>
      <w:iCs w:val="off"/>
      <w:strike w:val="off"/>
      <w:color w:val="auto"/>
      <w:position w:val="0"/>
      <w:sz w:val="24"/>
      <w:szCs w:val="24"/>
      <w:shd w:val="clear" w:color="auto" w:fill="auto"/>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