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22/2021</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121/124</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16  de marzo  de 2021 reunidos en Acuerdo Ordinario los Sres. Jueces de la Excma. Cámara de Apelación en lo Civil y Comercial del Departamento Judicial Pergamino, para dictar sentencia en la causa N° </w:t>
      </w:r>
      <w:r>
        <w:rPr>
          <w:color w:val="000000"/>
          <w:lang w:val="es-AR" w:eastAsia="es-AR" w:bidi="es-AR"/>
        </w:rPr>
        <w:t xml:space="preserve">4120-20</w:t>
      </w:r>
      <w:r>
        <w:rPr>
          <w:lang w:val="es-AR" w:eastAsia="es-AR" w:bidi="es-AR"/>
        </w:rPr>
        <w:t xml:space="preserve"> caratulada </w:t>
      </w:r>
      <w:r>
        <w:rPr>
          <w:b/>
          <w:lang w:val="es-AR" w:eastAsia="es-AR" w:bidi="es-AR"/>
        </w:rPr>
        <w:t xml:space="preserve">"</w:t>
      </w:r>
      <w:r>
        <w:rPr>
          <w:b/>
          <w:color w:val="000000"/>
          <w:lang w:val="es-AR" w:eastAsia="es-AR" w:bidi="es-AR"/>
        </w:rPr>
        <w:t xml:space="preserve">PARDO S.A. C/ AREN, JUAN IGNACIO S/ COBRO EJECUTIVO</w:t>
      </w:r>
      <w:r>
        <w:rPr>
          <w:b/>
          <w:lang w:val="es-AR" w:eastAsia="es-AR" w:bidi="es-AR"/>
        </w:rPr>
        <w:t xml:space="preserve">"</w:t>
      </w:r>
      <w:r>
        <w:rPr>
          <w:lang w:val="es-AR" w:eastAsia="es-AR" w:bidi="es-AR"/>
        </w:rPr>
        <w:t xml:space="preserve">, Expte. N° </w:t>
      </w:r>
      <w:r>
        <w:rPr>
          <w:color w:val="000000"/>
          <w:lang w:val="es-AR" w:eastAsia="es-AR" w:bidi="es-AR"/>
        </w:rPr>
        <w:t xml:space="preserve">CO 39641 </w:t>
      </w:r>
      <w:r>
        <w:rPr>
          <w:lang w:val="es-AR" w:eastAsia="es-AR" w:bidi="es-AR"/>
        </w:rPr>
        <w:t xml:space="preserve">del </w:t>
      </w:r>
      <w:r>
        <w:rPr>
          <w:color w:val="000000"/>
          <w:lang w:val="es-AR" w:eastAsia="es-AR" w:bidi="es-AR"/>
        </w:rPr>
        <w:t xml:space="preserve">Juzgado</w:t>
      </w:r>
      <w:r>
        <w:rPr>
          <w:lang w:val="es-AR" w:eastAsia="es-AR" w:bidi="es-AR"/>
        </w:rPr>
        <w:t xml:space="preserve"> de Paz Letrado de Colon, se practicó el sorteo de ley que determinó que la votación debía efectuarse en el siguiente orden: Roberto Manuel Degleue, Graciela Scaraffia, Bernardo Louise,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La señora Jueza de la anterior sede falló mandando llevar adelante la ejecución hasta tanto el ejecutado JUAN IGNACIO AREN haga al acreedor PARDO S.A. íntegro pago del capital reclamado de DOCE MIL SEISCIENTOS OCHENTA y UN PESOS con 54 CENTAVOS. ($12.681,54), desde la mora que establece en la fecha de notificación del mandamiento de autos, disponiendo ante la falta de convención entre las partes que los intereses moratorios, se calcularán a la tasa pasiva prevista en el art. 36 de la ley 24240 y sus modificatorias. Impuso las costas al demandado y difirió la regulación de honorarios del letrado interviniente hasta tanto obre en autos liquidación firme (art. 51 de la ley arancelaria).</w:t>
      </w:r>
    </w:p>
    <w:p>
      <w:pPr>
        <w:pStyle w:val="[Normal]"/>
        <w:spacing w:line="360" w:lineRule="auto"/>
        <w:ind w:firstLine="1134"/>
        <w:jc w:val="both"/>
        <w:rPr>
          <w:lang w:val="es-AR" w:eastAsia="es-AR" w:bidi="es-AR"/>
        </w:rPr>
      </w:pPr>
      <w:r>
        <w:rPr>
          <w:lang w:val="es-AR" w:eastAsia="es-AR" w:bidi="es-AR"/>
        </w:rPr>
        <w:t xml:space="preserve">Disconforme con lo resuelto, apela subsidiariamente la parte actora mediante el escrito electrónico de fecha 15/9/2020. El recurso es concedido en relación el 18/9/2020 y fundado el 12/10/2020, ordenándose el traslado respectivo el 16/10/2020 y ante su incontestación, la apelante peticiona se remita la causa a la Alzada, procediéndose a ello el 10/11/2020. Se llama a autos para dictar sentencia el 12 del mismo mes, encontrándose la causa en condiciones de ser fallada.</w:t>
      </w:r>
    </w:p>
    <w:p>
      <w:pPr>
        <w:pStyle w:val="[Normal]"/>
        <w:spacing w:line="360" w:lineRule="auto"/>
        <w:ind w:firstLine="1134"/>
        <w:jc w:val="both"/>
        <w:rPr>
          <w:lang w:val="es-AR" w:eastAsia="es-AR" w:bidi="es-AR"/>
        </w:rPr>
      </w:pPr>
      <w:r>
        <w:rPr>
          <w:lang w:val="es-AR" w:eastAsia="es-AR" w:bidi="es-AR"/>
        </w:rPr>
        <w:t xml:space="preserve">Para resolver como lo hiciera, la Sra. Jueza A-quo consideró que los</w:t>
      </w:r>
      <w:r>
        <w:rPr>
          <w:i/>
          <w:lang w:val="es-AR" w:eastAsia="es-AR" w:bidi="es-AR"/>
        </w:rPr>
        <w:t xml:space="preserve"> </w:t>
      </w:r>
      <w:r>
        <w:rPr>
          <w:lang w:val="es-AR" w:eastAsia="es-AR" w:bidi="es-AR"/>
        </w:rPr>
        <w:t xml:space="preserve">pagarés en ejecución instrumentan deuda originada en las ventas individualizadas mediante las planillas agregadas en autos coincidiendo las respectivas sumas de los títulos con la que resulta de la operatoria de compra financiada. Señala que en aquellas se detallan los bienes adquiridos, la tasa de intereses compensatorios, el importe total a abonar y las cuotas. Y en razón de no haberse pactado intereses para el caso de incumplimiento entiende que resulta de aplicación, a partir de la fecha de mora, la tasa pasiva indicada en el art 36 de la ley citada que resulta la más favorable al demandado. </w:t>
      </w:r>
    </w:p>
    <w:p>
      <w:pPr>
        <w:pStyle w:val="[Normal]"/>
        <w:spacing w:line="360" w:lineRule="auto"/>
        <w:ind w:firstLine="1134"/>
        <w:jc w:val="both"/>
        <w:rPr>
          <w:lang w:val="es-AR" w:eastAsia="es-AR" w:bidi="es-AR"/>
        </w:rPr>
      </w:pPr>
      <w:r>
        <w:rPr>
          <w:lang w:val="es-AR" w:eastAsia="es-AR" w:bidi="es-AR"/>
        </w:rPr>
        <w:t xml:space="preserve">Cita la doctrina emanada del fallo "Mutual Asis", en el que el Superior Tribunal provincial refiriera a la  aplicabilidad de la Ley de Defensa al Consumidor, en cuanto ello flexibiliza el andamiaje por el que discurre la pretensión ejecutiva, con respeto de los principios de bilateralidad y defensa en juicio (arts. 18, Const. nac.; 15, Const. prov.; 34 inc. 5 apdo. "c" y 36 inc. 2 y concs., CPCC).</w:t>
      </w:r>
    </w:p>
    <w:p>
      <w:pPr>
        <w:pStyle w:val="[Normal]"/>
        <w:spacing w:line="360" w:lineRule="auto"/>
        <w:ind w:firstLine="1134"/>
        <w:jc w:val="both"/>
        <w:rPr>
          <w:i/>
          <w:lang w:val="es-AR" w:eastAsia="es-AR" w:bidi="es-AR"/>
        </w:rPr>
      </w:pPr>
      <w:r>
        <w:rPr>
          <w:lang w:val="es-AR" w:eastAsia="es-AR" w:bidi="es-AR"/>
        </w:rPr>
        <w:t xml:space="preserve">En cuanto a la fecha de mora, tratándose de pagarés a la vista pero no habiéndose acreditado la realización del requerimiento de pago, en el decisorio se fija a partir de la notificación de los mandamientos respectivos (art. 103 dec/ley 5965/63).</w:t>
      </w:r>
    </w:p>
    <w:p>
      <w:pPr>
        <w:pStyle w:val="[Normal]"/>
        <w:spacing w:line="360" w:lineRule="auto"/>
        <w:ind w:firstLine="1134"/>
        <w:jc w:val="both"/>
        <w:rPr>
          <w:lang w:val="es-AR" w:eastAsia="es-AR" w:bidi="es-AR"/>
        </w:rPr>
      </w:pPr>
      <w:r>
        <w:rPr>
          <w:lang w:val="es-AR" w:eastAsia="es-AR" w:bidi="es-AR"/>
        </w:rPr>
        <w:t xml:space="preserve">La actora se disconforma con la decisión aludida, agraviándose del segundo punto del fallo, el que considera le ocasiona un severo perjuicio económico. Expresa que no resulta de aplicación el</w:t>
      </w:r>
      <w:r>
        <w:rPr>
          <w:lang w:val="es-AR" w:eastAsia="es-AR" w:bidi="es-AR"/>
        </w:rPr>
        <w:t xml:space="preserve"> art. 36 de la ley 24.240 </w:t>
      </w:r>
      <w:r>
        <w:rPr>
          <w:i/>
          <w:lang w:val="es-AR" w:eastAsia="es-AR" w:bidi="es-AR"/>
        </w:rPr>
        <w:t xml:space="preserve">"... por cuanto resulta de los instrumentos objeto de autos, que las partes acordaron las fechas de pago (30/06/2018 y 13/07/2018), y la tasa de interés anual a aplicar en caso de mora (30%); en consecuencia, no resultaría de aplicación la normativa citada por cuanto la misma es supletoria en caso de omisión de los requisitos esenciales y en el caso de autos no se dan tales supuestos.". </w:t>
      </w:r>
      <w:r>
        <w:rPr>
          <w:lang w:val="es-AR" w:eastAsia="es-AR" w:bidi="es-AR"/>
        </w:rPr>
        <w:t xml:space="preserve">Sostiene</w:t>
      </w:r>
      <w:r>
        <w:rPr>
          <w:i/>
          <w:lang w:val="es-AR" w:eastAsia="es-AR" w:bidi="es-AR"/>
        </w:rPr>
        <w:t xml:space="preserve"> </w:t>
      </w:r>
      <w:r>
        <w:rPr>
          <w:lang w:val="es-AR" w:eastAsia="es-AR" w:bidi="es-AR"/>
        </w:rPr>
        <w:t xml:space="preserve">que las partes acordaron la tasa de interés, la que pide se aplique así como las fechas de mora que resultan de los instrumentos agregados.</w:t>
      </w:r>
    </w:p>
    <w:p>
      <w:pPr>
        <w:pStyle w:val="[Normal]"/>
        <w:spacing w:line="360" w:lineRule="auto"/>
        <w:ind w:firstLine="1134"/>
        <w:jc w:val="both"/>
        <w:rPr>
          <w:i/>
          <w:lang w:val="es-AR" w:eastAsia="es-AR" w:bidi="es-AR"/>
        </w:rPr>
      </w:pPr>
      <w:r>
        <w:rPr>
          <w:lang w:val="es-AR" w:eastAsia="es-AR" w:bidi="es-AR"/>
        </w:rPr>
        <w:t xml:space="preserve">En primer lugar he de referirme al inicio del cómputo de la mora, cuestión en la que considero debe confirmarse el pronunciamiento en tanto tal como expusiera esta Alzada con anterioridad y en seguimiento de doctrina del Superior Provincial, </w:t>
      </w:r>
      <w:r>
        <w:rPr>
          <w:i/>
          <w:lang w:val="es-AR" w:eastAsia="es-AR" w:bidi="es-AR"/>
        </w:rPr>
        <w:t xml:space="preserve">'"..</w:t>
      </w:r>
      <w:r>
        <w:rPr>
          <w:i/>
          <w:lang w:val="es-AR" w:eastAsia="es-AR" w:bidi="es-AR"/>
        </w:rPr>
        <w:t xml:space="preserve">si bien es cierto que la ley mercantil establece una presunción "iuris tantum" favorable al portador del pagaré con claúsula "sin protesto" de haber cumplido con el requerimiento de pago, pesando sobre el deudor la producción de prueba en contrario, se ha dicho que ..." Cuando en el título el protesto es dispensado con la inserción de la claúsula respectiva (art. 50, dec. ley 5.965/63), no por ello queda el portador del documento relevado de la obligación de presentarlo para constituir en mora al deudor. La ley mercantil establece una presunción "iuris tantum" favorable al portador de haber cumplido con tal diligencia y, por ende, pesa sobre el deudor la producción de la prueba que desvirtúe tal presunción, pero ello ha de ser a condición de que el ejecutante manifieste haber presentado al cobro el documento en fecha y lugar determinados. De lo contrario la prueba a producir se tornaría inalcanzable" (SCBA, Ac 40279, Ac 43742 S 21-5-1991, Ac 58123;...CC0000 PE, C 2266 RSD-93-97)</w:t>
      </w:r>
      <w:r>
        <w:rPr>
          <w:lang w:val="es-AR" w:eastAsia="es-AR" w:bidi="es-AR"/>
        </w:rPr>
        <w:t xml:space="preserve"> (confr.</w:t>
      </w:r>
      <w:r>
        <w:rPr>
          <w:i/>
          <w:lang w:val="es-AR" w:eastAsia="es-AR" w:bidi="es-AR"/>
        </w:rPr>
        <w:t xml:space="preserve"> </w:t>
      </w:r>
      <w:r>
        <w:rPr>
          <w:lang w:val="es-AR" w:eastAsia="es-AR" w:bidi="es-AR"/>
        </w:rPr>
        <w:t xml:space="preserve">este Tribunal causa</w:t>
      </w:r>
      <w:r>
        <w:rPr>
          <w:lang w:val="es-AR" w:eastAsia="es-AR" w:bidi="es-AR"/>
        </w:rPr>
        <w:t xml:space="preserve"> N° 1592 RSD 18/13).</w:t>
      </w:r>
    </w:p>
    <w:p>
      <w:pPr>
        <w:pStyle w:val="[Normal]"/>
        <w:spacing w:line="360" w:lineRule="auto"/>
        <w:ind w:firstLine="1134"/>
        <w:jc w:val="both"/>
        <w:rPr>
          <w:lang w:val="es-AR" w:eastAsia="es-AR" w:bidi="es-AR"/>
        </w:rPr>
      </w:pPr>
      <w:r>
        <w:rPr>
          <w:lang w:val="es-AR" w:eastAsia="es-AR" w:bidi="es-AR"/>
        </w:rPr>
        <w:t xml:space="preserve">Tal criterio ha sido reiterado en numerosos fallos de la SCBA, en el sentido de que no puede el ejecutante del pagaré a la vista beneficiarse de la presunción legal si no indica fecha y lugar de presentación y reclamo del cobro (confr. Ac 46543; 78449; 97824 ent. ots.).</w:t>
      </w:r>
    </w:p>
    <w:p>
      <w:pPr>
        <w:pStyle w:val="[Normal]"/>
        <w:spacing w:line="360" w:lineRule="auto"/>
        <w:ind w:firstLine="1134"/>
        <w:jc w:val="both"/>
        <w:rPr>
          <w:lang w:val="es-AR" w:eastAsia="es-AR" w:bidi="es-AR"/>
        </w:rPr>
      </w:pPr>
      <w:r>
        <w:rPr>
          <w:lang w:val="es-AR" w:eastAsia="es-AR" w:bidi="es-AR"/>
        </w:rPr>
        <w:t xml:space="preserve">En consecuencia, no habiendo la accionante manifestado expresamente haber efectuado la respectiva diligencia en fecha y lugar determinados, corresponde tomar como fecha de mora la de la intimación de pago y embargo practicada en autos (8/7/2020), dispuesta en la Instancia Primera.</w:t>
      </w:r>
    </w:p>
    <w:p>
      <w:pPr>
        <w:pStyle w:val="[Normal]"/>
        <w:spacing w:line="360" w:lineRule="auto"/>
        <w:ind w:firstLine="1134"/>
        <w:jc w:val="both"/>
        <w:rPr>
          <w:lang w:val="es-AR" w:eastAsia="es-AR" w:bidi="es-AR"/>
        </w:rPr>
      </w:pPr>
      <w:r>
        <w:rPr>
          <w:lang w:val="es-AR" w:eastAsia="es-AR" w:bidi="es-AR"/>
        </w:rPr>
        <w:t xml:space="preserve">En cuanto a los intereses moratorios, tal como señala la Juzgadora anterior, no se pactaron.</w:t>
      </w:r>
    </w:p>
    <w:p>
      <w:pPr>
        <w:pStyle w:val="[Normal]"/>
        <w:spacing w:line="360" w:lineRule="auto"/>
        <w:ind w:firstLine="1134"/>
        <w:jc w:val="both"/>
        <w:rPr>
          <w:lang w:val="es-AR" w:eastAsia="es-AR" w:bidi="es-AR"/>
        </w:rPr>
      </w:pPr>
      <w:r>
        <w:rPr>
          <w:lang w:val="es-AR" w:eastAsia="es-AR" w:bidi="es-AR"/>
        </w:rPr>
        <w:t xml:space="preserve">Se acordaron los compensatorios que constan en la planilla de solicitud de financiación -30 % anual- para adunar al capital y del cual resulta el costo financiero de la operación de compra. En los pagarés librados figuran en blanco los espacios correspondientes a los accesorios que devengarían en caso de incumplimiento.</w:t>
      </w:r>
    </w:p>
    <w:p>
      <w:pPr>
        <w:pStyle w:val="[Normal]"/>
        <w:spacing w:line="360" w:lineRule="auto"/>
        <w:ind w:firstLine="1134"/>
        <w:jc w:val="both"/>
        <w:rPr>
          <w:lang w:val="es-AR" w:eastAsia="es-AR" w:bidi="es-AR"/>
        </w:rPr>
      </w:pPr>
      <w:r>
        <w:rPr>
          <w:lang w:val="es-AR" w:eastAsia="es-AR" w:bidi="es-AR"/>
        </w:rPr>
        <w:t xml:space="preserve">Esta ausencia de determinación entre las partes, impone de conformidad al art. 768 inc. b) del C.C.C., la aplicación de la tasa que dispongan las leyes especiales. Y contrariamente a lo expuesto por la Magistrada A-quo que entiende aplicable la tasa a la que refiere el art. 36 de la LDC, considero que procede la prevista en la legislación mercantil.</w:t>
      </w:r>
    </w:p>
    <w:p>
      <w:pPr>
        <w:pStyle w:val="[Normal]"/>
        <w:spacing w:line="360" w:lineRule="auto"/>
        <w:ind w:firstLine="1134"/>
        <w:jc w:val="both"/>
        <w:rPr>
          <w:i/>
          <w:lang w:val="es-AR" w:eastAsia="es-AR" w:bidi="es-AR"/>
        </w:rPr>
      </w:pPr>
      <w:r>
        <w:rPr>
          <w:lang w:val="es-AR" w:eastAsia="es-AR" w:bidi="es-AR"/>
        </w:rPr>
        <w:t xml:space="preserve">Es que s</w:t>
      </w:r>
      <w:r>
        <w:rPr>
          <w:lang w:val="es-AR" w:eastAsia="es-AR" w:bidi="es-AR"/>
        </w:rPr>
        <w:t xml:space="preserve">e trata de una pretensión ejecutiva que proviene de un crédito documentado en un contrato y simultáneamente instrumentado en un pagaré. En reiterados fallos esta Cámara -causas N° 3818, 3895, 4072, etc.- ha referido a la interpretación armonizadora de las legislaciones convergentes -de defensa al consumidor y comercial-, en seguimiento del criterio sentado por la Corte Provincial, en la causa "Asociación Mutual Asís contra Cubilla, María Ester. Cobro ejecutivo", C. 121.684, y otras posteriores. </w:t>
      </w:r>
      <w:r>
        <w:rPr>
          <w:i/>
          <w:lang w:val="es-AR" w:eastAsia="es-AR" w:bidi="es-AR"/>
        </w:rPr>
        <w:t xml:space="preserve">"La consecuencia procesal de la adopción de esta tesitura es que si el título valor, autónomamente o integrado, reúne las exigencias del citado art. 36 será pertinente la ejecución en los límites que resulten del negocio base de la relación jurídica. Pero... lo que se ejecuta es el pagaré como título ejecutivo." .</w:t>
      </w:r>
    </w:p>
    <w:p>
      <w:pPr>
        <w:pStyle w:val="[Normal]"/>
        <w:spacing w:line="360" w:lineRule="auto"/>
        <w:ind w:firstLine="1134"/>
        <w:jc w:val="both"/>
        <w:rPr>
          <w:lang w:val="es-AR" w:eastAsia="es-AR" w:bidi="es-AR"/>
        </w:rPr>
      </w:pPr>
      <w:r>
        <w:rPr>
          <w:lang w:val="es-AR" w:eastAsia="es-AR" w:bidi="es-AR"/>
        </w:rPr>
        <w:t xml:space="preserve">Entonces, una vez comprobado el cumplimiento del deber informativo y demás requisitos de art. 36 del la LDC inherentes a la operación de consumo, no procede desplazar la normativa propia de los títulos como los que aquí se ejecutan.</w:t>
      </w:r>
    </w:p>
    <w:p>
      <w:pPr>
        <w:pStyle w:val="[Normal]"/>
        <w:spacing w:line="360" w:lineRule="auto"/>
        <w:ind w:firstLine="1134"/>
        <w:jc w:val="both"/>
        <w:rPr>
          <w:lang w:val="es-AR" w:eastAsia="es-AR" w:bidi="es-AR"/>
        </w:rPr>
      </w:pPr>
      <w:r>
        <w:rPr>
          <w:lang w:val="es-AR" w:eastAsia="es-AR" w:bidi="es-AR"/>
        </w:rPr>
        <w:t xml:space="preserve">La tasa de interés que establece la A-quo, es de aplicación para el caso de que en la operación financiera para consumo o en la de crédito para consumo que se tratare, se hubiese omitido consignar la tasa de interés efectiva anual, situación que determinará que la obligación del tomador de abonar intereses se ajuste a esa tasa legal: la pasiva anual promedio del mercado difundida por el Banco Central de la República Argentina vigente a la fecha de celebración del contrato.</w:t>
      </w:r>
    </w:p>
    <w:p>
      <w:pPr>
        <w:pStyle w:val="[Normal]"/>
        <w:spacing w:line="360" w:lineRule="auto"/>
        <w:ind w:firstLine="1134"/>
        <w:jc w:val="both"/>
        <w:rPr>
          <w:lang w:val="es-AR" w:eastAsia="es-AR" w:bidi="es-AR"/>
        </w:rPr>
      </w:pPr>
      <w:r>
        <w:rPr>
          <w:lang w:val="es-AR" w:eastAsia="es-AR" w:bidi="es-AR"/>
        </w:rPr>
        <w:t xml:space="preserve">Es decir incumbe al acto jurídico de consumo antecedente y como se dijera, no se omitió sino que se estableció -constituyendo los intereses compensatorios-, en el 30 % anual.</w:t>
      </w:r>
    </w:p>
    <w:p>
      <w:pPr>
        <w:pStyle w:val="[Normal]"/>
        <w:spacing w:line="360" w:lineRule="auto"/>
        <w:ind w:firstLine="1134"/>
        <w:jc w:val="both"/>
        <w:rPr>
          <w:lang w:val="es-AR" w:eastAsia="es-AR" w:bidi="es-AR"/>
        </w:rPr>
      </w:pPr>
      <w:r>
        <w:rPr>
          <w:lang w:val="es-AR" w:eastAsia="es-AR" w:bidi="es-AR"/>
        </w:rPr>
        <w:t xml:space="preserve"> Pero en cuanto a la ejecución en sí misma del título valor, corresponde regirse por la normativa específica (dec.-ley 5965, art. 52).</w:t>
      </w:r>
    </w:p>
    <w:p>
      <w:pPr>
        <w:pStyle w:val="[Normal]"/>
        <w:spacing w:line="360" w:lineRule="auto"/>
        <w:ind w:firstLine="1134"/>
        <w:jc w:val="both"/>
        <w:rPr>
          <w:lang w:val="es-AR" w:eastAsia="es-AR" w:bidi="es-AR"/>
        </w:rPr>
      </w:pPr>
      <w:r>
        <w:rPr>
          <w:lang w:val="es-AR" w:eastAsia="es-AR" w:bidi="es-AR"/>
        </w:rPr>
        <w:t xml:space="preserve">De todos modos, siendo que en la especie el propio apelante sostiene que los intereses moratorios también deben considerarse previstos en esa tasa anual del 30% y siendo que la misma no supera las restantes alternativas en cuya aplicabilidad se centraría la controversia, ha de determinarse en ese porcentaje.</w:t>
      </w:r>
    </w:p>
    <w:p>
      <w:pPr>
        <w:pStyle w:val="[Normal]"/>
        <w:spacing w:line="360" w:lineRule="auto"/>
        <w:ind w:firstLine="1134"/>
        <w:jc w:val="both"/>
        <w:rPr>
          <w:lang w:val="es-AR" w:eastAsia="es-AR" w:bidi="es-AR"/>
        </w:rPr>
      </w:pPr>
      <w:r>
        <w:rPr>
          <w:lang w:val="es-AR" w:eastAsia="es-AR" w:bidi="es-AR"/>
        </w:rPr>
        <w:t xml:space="preserve">Resta tratar otra cuestión en razón de las particularidades de la materia y a partir de la doctrina legal del Superior ya referida, según la cual </w:t>
      </w:r>
      <w:r>
        <w:rPr>
          <w:i/>
          <w:lang w:val="es-AR" w:eastAsia="es-AR" w:bidi="es-AR"/>
        </w:rPr>
        <w:t xml:space="preserve">"...la indagación en los aspectos sustanciales del negocio jurídico subyacente pone a resguardo los derechos informativos que amparan al consumidor (art. 42 Const. Nac.).</w:t>
      </w:r>
      <w:r>
        <w:rPr>
          <w:lang w:val="es-AR" w:eastAsia="es-AR" w:bidi="es-AR"/>
        </w:rPr>
        <w:t xml:space="preserve">". Así,</w:t>
      </w:r>
      <w:r>
        <w:rPr>
          <w:lang w:val="es-AR" w:eastAsia="es-AR" w:bidi="es-AR"/>
        </w:rPr>
        <w:t xml:space="preserve"> resultan los términos en que el Superior provincial ha reconocido</w:t>
      </w:r>
      <w:r>
        <w:rPr>
          <w:lang w:val="es-AR" w:eastAsia="es-AR" w:bidi="es-AR"/>
        </w:rPr>
        <w:t xml:space="preserve"> la vía ejecutiva del llamado " pagaré de consumo -"Asociación Mutual Asís c/ Cubilla, María Ester. Cobro ejecutivo", del 14/08/19, C. 121.684-, señalando  que resulta ser un título complejo que se integra entre el instrumento y el negocio subyacente documentado, en cumplimiento del art. 36 de la Ley de Consumidor. </w:t>
      </w:r>
    </w:p>
    <w:p>
      <w:pPr>
        <w:pStyle w:val="[Normal]"/>
        <w:spacing w:line="360" w:lineRule="auto"/>
        <w:ind w:firstLine="1134"/>
        <w:jc w:val="both"/>
        <w:rPr>
          <w:lang w:val="es-AR" w:eastAsia="es-AR" w:bidi="es-AR"/>
        </w:rPr>
      </w:pPr>
      <w:r>
        <w:rPr>
          <w:lang w:val="es-AR" w:eastAsia="es-AR" w:bidi="es-AR"/>
        </w:rPr>
        <w:t xml:space="preserve">En autos, de la documental complementaria que integra el título, y que en esa medida, puede servir para confirmar, completar, corregir y hasta invalidar al instrumento de crédito en función de la correspondencia y suficiencia informativa a su respecto, se aprecia en una de las operatorias, error en el cálculo numérico del porcentaje y conformación del monto de capital más costo financiero. Y dado que en función de la integración que procede, el título valor puede ser modificado conforme lo que resulte de los términos del instrumento base -en tanto relación causal subyacente y por imperio del principio protectorio en la materia, en su faz de interpretación mas favorable al consumidor (arts. 3, 37 y ccs. LDC; 1094/5 C.C.C.)-, corresponde corregir el yerro sindicado a efectos de la equivalencia entre el título y las condiciones de financiación del producto adquirido.</w:t>
      </w:r>
    </w:p>
    <w:p>
      <w:pPr>
        <w:pStyle w:val="[Normal]"/>
        <w:spacing w:line="360" w:lineRule="auto"/>
        <w:ind w:firstLine="1134"/>
        <w:jc w:val="both"/>
        <w:rPr>
          <w:lang w:val="es-AR" w:eastAsia="es-AR" w:bidi="es-AR"/>
        </w:rPr>
      </w:pPr>
      <w:r>
        <w:rPr>
          <w:lang w:val="es-AR" w:eastAsia="es-AR" w:bidi="es-AR"/>
        </w:rPr>
        <w:t xml:space="preserve">Es que, como se viera, la relación de consumo que subyace en la pretensión de cobro, no es ajena al proceso ejecutivo. </w:t>
      </w:r>
    </w:p>
    <w:p>
      <w:pPr>
        <w:pStyle w:val="[Normal]"/>
        <w:spacing w:line="360" w:lineRule="auto"/>
        <w:ind w:firstLine="1134"/>
        <w:jc w:val="both"/>
        <w:rPr>
          <w:lang w:val="es-AR" w:eastAsia="es-AR" w:bidi="es-AR"/>
        </w:rPr>
      </w:pPr>
      <w:r>
        <w:rPr>
          <w:lang w:val="es-AR" w:eastAsia="es-AR" w:bidi="es-AR"/>
        </w:rPr>
        <w:t xml:space="preserve">Puede verificarse que la solicitud N° B111-65845 es por una compra de $ 3.499,01, tasa convenida del 30% que importa un cálculo de intereses de $ 1.049,70, llevando el monto financiado a $ 4.548,71. Por el mismo, se instrumenta uno de los pagarés en ejecución. Las cuentas son exactas. </w:t>
      </w:r>
    </w:p>
    <w:p>
      <w:pPr>
        <w:pStyle w:val="[Normal]"/>
        <w:spacing w:line="360" w:lineRule="auto"/>
        <w:ind w:firstLine="1134"/>
        <w:jc w:val="both"/>
        <w:rPr>
          <w:lang w:val="es-AR" w:eastAsia="es-AR" w:bidi="es-AR"/>
        </w:rPr>
      </w:pPr>
      <w:r>
        <w:rPr>
          <w:lang w:val="es-AR" w:eastAsia="es-AR" w:bidi="es-AR"/>
        </w:rPr>
        <w:t xml:space="preserve">En cambio la solicitud N° 111-65522, refiere a un producto de $ 5.218,01 (celular más garantía), estableciendo una tasa también del 30% directa, cuya aplicación resulta en la suma de $ 1.565,4 de intereses (no $ 1.876,80 como figura) y el monto financiado, a garantizar con el pagaré, sería entonces de $ 6.783,41 (no $ 8.132,83 como figura al documentarse la operatoria).</w:t>
      </w:r>
    </w:p>
    <w:p>
      <w:pPr>
        <w:pStyle w:val="[Normal]"/>
        <w:spacing w:line="360" w:lineRule="auto"/>
        <w:ind w:firstLine="1134"/>
        <w:jc w:val="both"/>
        <w:rPr>
          <w:lang w:val="es-AR" w:eastAsia="es-AR" w:bidi="es-AR"/>
        </w:rPr>
      </w:pPr>
      <w:r>
        <w:rPr>
          <w:lang w:val="es-AR" w:eastAsia="es-AR" w:bidi="es-AR"/>
        </w:rPr>
        <w:t xml:space="preserve">Es así que la ejecución se debe mandar llevar adelante por $ 11.332,12 con más los intereses moratorios, que oportunamente serán objeto de control de abusividad en la etapa de liquidación.</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interpuesto y en consecuencia confirmar en lo principal que decide, la sentencia apelada, modificando el monto por el que se manda llevar adelante la ejecución el que asciende a-$ 11.332,12- con más los intereses moratorios a la misma tasa que los compensatorios fijados por las partes, a partir de la mora acaecida en la fecha de diligenciamiento del mandamiento respectivo. (arts. 36/7 y ccs. ley 24.240; 668/771, 1094/5 y ccs. C.C.C.; 42 C.N.; 52, 103 y ccs. dec.-ley 5965/63).</w:t>
      </w:r>
    </w:p>
    <w:p>
      <w:pPr>
        <w:pStyle w:val="[Normal]"/>
        <w:spacing w:line="360" w:lineRule="auto"/>
        <w:ind w:firstLine="1134"/>
        <w:jc w:val="both"/>
        <w:rPr>
          <w:lang w:val="es-AR" w:eastAsia="es-AR" w:bidi="es-AR"/>
        </w:rPr>
      </w:pPr>
      <w:r>
        <w:rPr>
          <w:lang w:val="es-AR" w:eastAsia="es-AR" w:bidi="es-AR"/>
        </w:rPr>
        <w:t xml:space="preserve">Costas al apelante (art. 68/9 CPCC).</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interpuesto y en consecuencia confirmar en lo principal que decide, la sentencia apelada, modificando el monto por el que se manda llevar adelante la ejecución el que asciende a -$ 11.332,12 - con más los intereses moratorios a la misma tasa que los compensatorios fijados por las partes, a partir de la mora acaecida en la fecha de diligenciamiento del mandamiento respectivo. (arts. 36/7 y ccs. ley 24.240; 668/771, 1094/5 y ccs. C.C.C.; 42 C.N.; 52, 103 y ccs. dec.-ley 5965/63).</w:t>
      </w:r>
    </w:p>
    <w:p>
      <w:pPr>
        <w:pStyle w:val="[Normal]"/>
        <w:spacing w:line="360" w:lineRule="auto"/>
        <w:ind w:firstLine="1134"/>
        <w:jc w:val="both"/>
        <w:rPr>
          <w:lang w:val="es-AR" w:eastAsia="es-AR" w:bidi="es-AR"/>
        </w:rPr>
      </w:pPr>
      <w:r>
        <w:rPr>
          <w:lang w:val="es-AR" w:eastAsia="es-AR" w:bidi="es-AR"/>
        </w:rPr>
        <w:t xml:space="preserve">Costas al apelante (art. 68/9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r>
        <w:rPr>
          <w:noProof/>
          <w:color w:val="000000"/>
          <w:lang w:val="es-AR" w:eastAsia="es-AR" w:bidi="es-AR"/>
        </w:rPr>
        <w:t xml:space="preserve">20222584494@notificaciones.scba.gov.ar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09:42:35 -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10:10:45 -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10:18:39 -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11:22:03 - ALBORNOZ Ana Maria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20222584494@notificaciones.scba.gov.ar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‰8&amp;")è%%ÀzcŠ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240602090005059590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4120 - 20 - PARDO S.A. C/ AREN, JUAN IGNACIO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‰8&amp;")è%%ÀzcŠ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240602090005059590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EM">
    <w:name w:val="EM"/>
    <w:qFormat/>
    <w:rPr>
      <w:i/>
      <w:iCs/>
      <w:rtl w:val="off"/>
      <w:lang w:val="x-none" w:eastAsia="x-none" w:bidi="x-none"/>
    </w:rPr>
  </w:style>
  <w:style w:type="character" w:styleId="STRONG">
    <w:name w:val="STRONG"/>
    <w:qFormat/>
    <w:rPr>
      <w:b/>
      <w:bCs/>
      <w:rtl w:val="off"/>
      <w:lang w:val="x-none" w:eastAsia="x-none" w:bidi="x-none"/>
    </w:rPr>
  </w:style>
  <w:style w:type="character" w:styleId="U">
    <w:name w:val="U"/>
    <w:qFormat/>
    <w:rPr>
      <w:u w:val="single"/>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