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b/>
          <w:lang w:val="es-AR" w:eastAsia="es-AR" w:bidi="es-AR"/>
        </w:rPr>
        <w:t xml:space="preserve">Registro N° 30 /</w:t>
      </w:r>
      <w:r>
        <w:rPr>
          <w:b/>
          <w:color w:val="000000"/>
          <w:lang w:val="es-AR" w:eastAsia="es-AR" w:bidi="es-AR"/>
        </w:rPr>
        <w:t xml:space="preserve">2021</w:t>
      </w:r>
      <w:r>
        <w:rPr>
          <w:color w:val="000000"/>
          <w:lang w:val="es-AR" w:eastAsia="es-AR" w:bidi="es-AR"/>
        </w:rPr>
        <w:t xml:space="preserve"> </w:t>
      </w:r>
    </w:p>
    <w:p>
      <w:pPr>
        <w:pStyle w:val="[Normal]"/>
        <w:spacing w:line="360" w:lineRule="auto"/>
        <w:ind w:firstLine="1134"/>
        <w:jc w:val="both"/>
        <w:rPr>
          <w:lang w:val="es-AR" w:eastAsia="es-AR" w:bidi="es-AR"/>
        </w:rPr>
      </w:pPr>
      <w:r>
        <w:rPr>
          <w:b/>
          <w:lang w:val="es-AR" w:eastAsia="es-AR" w:bidi="es-AR"/>
        </w:rPr>
        <w:t xml:space="preserve">Fojas 151/156</w:t>
      </w:r>
    </w:p>
    <w:p>
      <w:pPr>
        <w:pStyle w:val="[Normal]"/>
        <w:spacing w:line="360" w:lineRule="auto"/>
        <w:ind w:firstLine="1134"/>
        <w:jc w:val="both"/>
        <w:rPr>
          <w:lang w:val="es-AR" w:eastAsia="es-AR" w:bidi="es-AR"/>
        </w:rPr>
      </w:pPr>
    </w:p>
    <w:p>
      <w:pPr>
        <w:pStyle w:val="[Normal]"/>
        <w:spacing w:line="360" w:lineRule="auto"/>
        <w:ind w:firstLine="1134"/>
        <w:jc w:val="both"/>
        <w:rPr>
          <w:b/>
          <w:lang w:val="es-AR" w:eastAsia="es-AR" w:bidi="es-AR"/>
        </w:rPr>
      </w:pPr>
      <w:r>
        <w:rPr>
          <w:lang w:val="es-AR" w:eastAsia="es-AR" w:bidi="es-AR"/>
        </w:rPr>
        <w:t xml:space="preserve">En la ciudad de Pergamino, el 25 de Marzo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4121-20</w:t>
      </w:r>
      <w:r>
        <w:rPr>
          <w:lang w:val="es-AR" w:eastAsia="es-AR" w:bidi="es-AR"/>
        </w:rPr>
        <w:t xml:space="preserve"> caratulados </w:t>
      </w:r>
      <w:r>
        <w:rPr>
          <w:b/>
          <w:lang w:val="es-AR" w:eastAsia="es-AR" w:bidi="es-AR"/>
        </w:rPr>
        <w:t xml:space="preserve">"</w:t>
      </w:r>
      <w:r>
        <w:rPr>
          <w:b/>
          <w:color w:val="000000"/>
          <w:lang w:val="es-AR" w:eastAsia="es-AR" w:bidi="es-AR"/>
        </w:rPr>
        <w:t xml:space="preserve">TORRES FERNANDO Y OTRO/A C/ CUFRE CARLOS ALBERTO Y OTROS  S/DAÑOS Y PERJ.AUTOM. C/LES. O MUERTE (EXC.ESTADO)</w:t>
      </w:r>
      <w:r>
        <w:rPr>
          <w:b/>
          <w:lang w:val="es-AR" w:eastAsia="es-AR" w:bidi="es-AR"/>
        </w:rPr>
        <w:t xml:space="preserve">",</w:t>
      </w:r>
      <w:r>
        <w:rPr>
          <w:lang w:val="es-AR" w:eastAsia="es-AR" w:bidi="es-AR"/>
        </w:rPr>
        <w:t xml:space="preserve"> Expte. N° 77516 del </w:t>
      </w:r>
      <w:r>
        <w:rPr>
          <w:color w:val="000000"/>
          <w:lang w:val="es-AR" w:eastAsia="es-AR" w:bidi="es-AR"/>
        </w:rPr>
        <w:t xml:space="preserve">Juzgado en lo Civil y Comercial N° 2 </w:t>
      </w:r>
      <w:r>
        <w:rPr>
          <w:lang w:val="es-AR" w:eastAsia="es-AR" w:bidi="es-AR"/>
        </w:rPr>
        <w:t xml:space="preserve">Departamental, encontrándose el Dr. Bernardo Louise excusado en fecha 17/11/2020 se practicó el sorteo de ley que determinó que la votación debía efectuarse en el siguiente orden: Dres. Roberto Manuel Degleue y Graciela Scaraffía y estudiados los autos se resolvió plantear y votar las siguientes: </w:t>
      </w:r>
    </w:p>
    <w:p>
      <w:pPr>
        <w:pStyle w:val="[Normal]"/>
        <w:spacing w:line="360" w:lineRule="auto"/>
        <w:ind w:firstLine="1134"/>
        <w:jc w:val="both"/>
        <w:rPr>
          <w:color w:val="000000"/>
          <w:lang w:val="es-AR" w:eastAsia="es-AR" w:bidi="es-AR"/>
        </w:rPr>
      </w:pPr>
      <w:r>
        <w:rPr>
          <w:color w:val="000000"/>
          <w:u w:val="single"/>
          <w:lang w:val="es-AR" w:eastAsia="es-AR" w:bidi="es-AR"/>
        </w:rPr>
        <w:t xml:space="preserve">C U E S T I O N E S:</w:t>
      </w:r>
    </w:p>
    <w:p>
      <w:pPr>
        <w:pStyle w:val="[Normal]"/>
        <w:spacing w:line="36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36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el señor Juez, Roberto Manuel Degleue dijo:</w:t>
      </w:r>
    </w:p>
    <w:p>
      <w:pPr>
        <w:pStyle w:val="[Normal]"/>
        <w:spacing w:line="360" w:lineRule="auto"/>
        <w:ind w:firstLine="1134"/>
        <w:jc w:val="both"/>
        <w:rPr>
          <w:color w:val="000000"/>
          <w:lang w:val="es-AR" w:eastAsia="es-AR" w:bidi="es-AR"/>
        </w:rPr>
      </w:pPr>
      <w:r>
        <w:rPr>
          <w:color w:val="000000"/>
          <w:lang w:val="es-AR" w:eastAsia="es-AR" w:bidi="es-AR"/>
        </w:rPr>
        <w:t xml:space="preserve">El Señor Juez de la anterior instancia falló en la presente rechazando la demanda entablada por la parte actora, con costas a su cargo y regulando los honorarios profesionales de los letrados y peritos intervinientes en autos.</w:t>
      </w:r>
    </w:p>
    <w:p>
      <w:pPr>
        <w:pStyle w:val="[Normal]"/>
        <w:spacing w:line="360" w:lineRule="auto"/>
        <w:jc w:val="both"/>
        <w:rPr>
          <w:color w:val="000000"/>
          <w:lang w:val="es-AR" w:eastAsia="es-AR" w:bidi="es-AR"/>
        </w:rPr>
      </w:pPr>
      <w:r>
        <w:rPr>
          <w:color w:val="000000"/>
          <w:lang w:val="es-AR" w:eastAsia="es-AR" w:bidi="es-AR"/>
        </w:rPr>
        <w:t xml:space="preserve">                 Mediante los escritos de fechas 5/11/2019 y 20/12/2019 interpusieron sendos recursos de apelación los actores de autos, fundados en la presentación electrónica de fecha 16/12/2020.</w:t>
      </w:r>
    </w:p>
    <w:p>
      <w:pPr>
        <w:pStyle w:val="[Normal]"/>
        <w:spacing w:line="360" w:lineRule="auto"/>
        <w:jc w:val="both"/>
        <w:rPr>
          <w:lang w:val="es-AR" w:eastAsia="es-AR" w:bidi="es-AR"/>
        </w:rPr>
      </w:pPr>
      <w:r>
        <w:rPr>
          <w:lang w:val="es-AR" w:eastAsia="es-AR" w:bidi="es-AR"/>
        </w:rPr>
        <w:t xml:space="preserve">	Consideran los apelantes que el fallo anterior resulta equivocado debido a que el a</w:t>
      </w:r>
      <w:r>
        <w:rPr>
          <w:rStyle w:val="EM"/>
          <w:lang w:val="es-AR" w:eastAsia="es-AR" w:bidi="es-AR"/>
        </w:rPr>
        <w:t xml:space="preserve"> quo</w:t>
      </w:r>
      <w:r>
        <w:rPr>
          <w:lang w:val="es-AR" w:eastAsia="es-AR" w:bidi="es-AR"/>
        </w:rPr>
        <w:t xml:space="preserve"> omite en su análisis, la </w:t>
      </w:r>
      <w:r>
        <w:rPr>
          <w:rStyle w:val="EM"/>
          <w:i w:val="off"/>
          <w:lang w:val="es-AR" w:eastAsia="es-AR" w:bidi="es-AR"/>
        </w:rPr>
        <w:t xml:space="preserve">contribución causal</w:t>
      </w:r>
      <w:r>
        <w:rPr>
          <w:lang w:val="es-AR" w:eastAsia="es-AR" w:bidi="es-AR"/>
        </w:rPr>
        <w:t xml:space="preserve"> en el resultado dañoso, del señor Carlos Alberto Cufré, en su condición de chofer profesional que sumada a las circunstancias de modo y lugar establecidas en la causa penal resulta relevante para comprometer su responsabilidad civil.</w:t>
      </w:r>
    </w:p>
    <w:p>
      <w:pPr>
        <w:pStyle w:val="[Normal]"/>
        <w:spacing w:line="360" w:lineRule="auto"/>
        <w:jc w:val="both"/>
        <w:rPr>
          <w:lang w:val="es-AR" w:eastAsia="es-AR" w:bidi="es-AR"/>
        </w:rPr>
      </w:pPr>
      <w:r>
        <w:rPr>
          <w:lang w:val="es-AR" w:eastAsia="es-AR" w:bidi="es-AR"/>
        </w:rPr>
        <w:t xml:space="preserve">	Sostienen que el Sr. Cufré debió extremar su atención y precauciones, al volante del camión a su cargo, a todas las circunstancias del tráfico, ya que estaba atravesando una zona de tránsito denso, y con varias alternativas o dificultades en la circulación (</w:t>
      </w:r>
      <w:r>
        <w:rPr>
          <w:rStyle w:val="EM"/>
          <w:i w:val="off"/>
          <w:lang w:val="es-AR" w:eastAsia="es-AR" w:bidi="es-AR"/>
        </w:rPr>
        <w:t xml:space="preserve">zona urbana con dos empalmes a nivel</w:t>
      </w:r>
      <w:r>
        <w:rPr>
          <w:lang w:val="es-AR" w:eastAsia="es-AR" w:bidi="es-AR"/>
        </w:rPr>
        <w:t xml:space="preserve">) y sumando a ello la totalidad de los testigos presenciales del hecho, que declararon en la causa penal </w:t>
      </w:r>
      <w:r>
        <w:rPr>
          <w:rStyle w:val="EM"/>
          <w:i w:val="off"/>
          <w:lang w:val="es-AR" w:eastAsia="es-AR" w:bidi="es-AR"/>
        </w:rPr>
        <w:t xml:space="preserve">que</w:t>
      </w:r>
      <w:r>
        <w:rPr>
          <w:lang w:val="es-AR" w:eastAsia="es-AR" w:bidi="es-AR"/>
        </w:rPr>
        <w:t xml:space="preserve"> son contestes en afirmar que delante del auto del Sr. Torres, había otro vehículo ensayando la misma maniobra (</w:t>
      </w:r>
      <w:r>
        <w:rPr>
          <w:rStyle w:val="EM"/>
          <w:i w:val="off"/>
          <w:lang w:val="es-AR" w:eastAsia="es-AR" w:bidi="es-AR"/>
        </w:rPr>
        <w:t xml:space="preserve">giro a la izquierda hacia la ruta 8</w:t>
      </w:r>
      <w:r>
        <w:rPr>
          <w:lang w:val="es-AR" w:eastAsia="es-AR" w:bidi="es-AR"/>
        </w:rPr>
        <w:t xml:space="preserve">), y que ambos rodados señalizaban y/o anunciaban la maniobra con el destello de sus luces de giro, salta a la vista que el co-demandado no ajustó su maniobrar al riesgo en el que estaba inmerso, ni advirtió las señales lumínicas que alertaban sobre la circunstancia de transito que tenía por delante de él.</w:t>
      </w:r>
    </w:p>
    <w:p>
      <w:pPr>
        <w:pStyle w:val="[Normal]"/>
        <w:spacing w:line="360" w:lineRule="auto"/>
        <w:jc w:val="both"/>
        <w:rPr>
          <w:lang w:val="es-AR" w:eastAsia="es-AR" w:bidi="es-AR"/>
        </w:rPr>
      </w:pPr>
      <w:r>
        <w:rPr>
          <w:lang w:val="es-AR" w:eastAsia="es-AR" w:bidi="es-AR"/>
        </w:rPr>
        <w:t xml:space="preserve">	Señalan que al juzgador anterior, en su análisis del caso, se le ha pasado por alto el hecho de que </w:t>
      </w:r>
      <w:r>
        <w:rPr>
          <w:rStyle w:val="EM"/>
          <w:i w:val="off"/>
          <w:lang w:val="es-AR" w:eastAsia="es-AR" w:bidi="es-AR"/>
        </w:rPr>
        <w:t xml:space="preserve">la maniobra de giro a baja velocidad</w:t>
      </w:r>
      <w:r>
        <w:rPr>
          <w:lang w:val="es-AR" w:eastAsia="es-AR" w:bidi="es-AR"/>
        </w:rPr>
        <w:t xml:space="preserve">, </w:t>
      </w:r>
      <w:r>
        <w:rPr>
          <w:rStyle w:val="EM"/>
          <w:i w:val="off"/>
          <w:lang w:val="es-AR" w:eastAsia="es-AR" w:bidi="es-AR"/>
        </w:rPr>
        <w:t xml:space="preserve">que le enrostra al Sr. Fernando Torres</w:t>
      </w:r>
      <w:r>
        <w:rPr>
          <w:lang w:val="es-AR" w:eastAsia="es-AR" w:bidi="es-AR"/>
        </w:rPr>
        <w:t xml:space="preserve">, </w:t>
      </w:r>
      <w:r>
        <w:rPr>
          <w:rStyle w:val="EM"/>
          <w:i w:val="off"/>
          <w:lang w:val="es-AR" w:eastAsia="es-AR" w:bidi="es-AR"/>
        </w:rPr>
        <w:t xml:space="preserve">configura en si misma una</w:t>
      </w:r>
      <w:r>
        <w:rPr>
          <w:lang w:val="es-AR" w:eastAsia="es-AR" w:bidi="es-AR"/>
        </w:rPr>
        <w:t xml:space="preserve"> c</w:t>
      </w:r>
      <w:r>
        <w:rPr>
          <w:rStyle w:val="EM"/>
          <w:i w:val="off"/>
          <w:lang w:val="es-AR" w:eastAsia="es-AR" w:bidi="es-AR"/>
        </w:rPr>
        <w:t xml:space="preserve">ircunstancia del tránsito</w:t>
      </w:r>
      <w:r>
        <w:rPr>
          <w:lang w:val="es-AR" w:eastAsia="es-AR" w:bidi="es-AR"/>
        </w:rPr>
        <w:t xml:space="preserve">, que la sentencia penal, en ninguno de sus pasajes califica como imprevista o repentina. </w:t>
      </w:r>
    </w:p>
    <w:p>
      <w:pPr>
        <w:pStyle w:val="[Normal]"/>
        <w:spacing w:line="360" w:lineRule="auto"/>
        <w:jc w:val="both"/>
        <w:rPr>
          <w:lang w:val="es-AR" w:eastAsia="es-AR" w:bidi="es-AR"/>
        </w:rPr>
      </w:pPr>
      <w:r>
        <w:rPr>
          <w:lang w:val="es-AR" w:eastAsia="es-AR" w:bidi="es-AR"/>
        </w:rPr>
        <w:t xml:space="preserve">	Adunan a lo anterior que conforme a la planimetría obrante en la causa penal, se comprobó que la colisión se produjo sobre el carril de circulación Pergamino- Junín, es decir en sentido contrario al de la marcha de los vehículos de Torres y Cufré, que transitaban de Junín a Pergamino, lo que demuestra que el accionado se encontraba en la mano contraria al de su sentido de circulación. De ello se desprenden dos hipótesis, a saber, que el conductor del vehículo mayor también buscaba girar hacia su izquierda, al igual que el actor, para tomar la Ruta 8 con sentido hacia Colón, pero a una velocidad mucho más elevada que la que poseían los vehículos que lo antecedían, razón por la cual se produce el choque por alcance y la otra es que improvisó una maniobra </w:t>
      </w:r>
      <w:r>
        <w:rPr>
          <w:rStyle w:val="EM"/>
          <w:lang w:val="es-AR" w:eastAsia="es-AR" w:bidi="es-AR"/>
        </w:rPr>
        <w:t xml:space="preserve">repentina</w:t>
      </w:r>
      <w:r>
        <w:rPr>
          <w:lang w:val="es-AR" w:eastAsia="es-AR" w:bidi="es-AR"/>
        </w:rPr>
        <w:t xml:space="preserve"> de esquive de los vehículos que tenía por delante, invadiendo para ello el carril de la contramano (</w:t>
      </w:r>
      <w:r>
        <w:rPr>
          <w:rStyle w:val="EM"/>
          <w:i w:val="off"/>
          <w:lang w:val="es-AR" w:eastAsia="es-AR" w:bidi="es-AR"/>
        </w:rPr>
        <w:t xml:space="preserve">izquierda</w:t>
      </w:r>
      <w:r>
        <w:rPr>
          <w:lang w:val="es-AR" w:eastAsia="es-AR" w:bidi="es-AR"/>
        </w:rPr>
        <w:t xml:space="preserve">), decisión absolutamente errónea, pues viola la obligación de mantener en todo momento su derecha.</w:t>
      </w:r>
    </w:p>
    <w:p>
      <w:pPr>
        <w:pStyle w:val="[Normal]"/>
        <w:spacing w:line="360" w:lineRule="auto"/>
        <w:jc w:val="both"/>
        <w:rPr>
          <w:lang w:val="es-AR" w:eastAsia="es-AR" w:bidi="es-AR"/>
        </w:rPr>
      </w:pPr>
      <w:r>
        <w:rPr>
          <w:lang w:val="es-AR" w:eastAsia="es-AR" w:bidi="es-AR"/>
        </w:rPr>
        <w:t xml:space="preserve">	Solicitan se revoque el fallo apelado, y disponga atribuir un porcentaje de responsabilidad al Sr. Carlos Alberto Cufré, con fundamento en la violación de la norma contenida en el a</w:t>
      </w:r>
      <w:r>
        <w:rPr>
          <w:rStyle w:val="EM"/>
          <w:i w:val="off"/>
          <w:lang w:val="es-AR" w:eastAsia="es-AR" w:bidi="es-AR"/>
        </w:rPr>
        <w:t xml:space="preserve">rt. 902 del Cod. Civil</w:t>
      </w:r>
      <w:r>
        <w:rPr>
          <w:lang w:val="es-AR" w:eastAsia="es-AR" w:bidi="es-AR"/>
        </w:rPr>
        <w:t xml:space="preserve">, conforme a la Jurisprudencia imperante en materia de daños con automotores. Con costas.</w:t>
      </w:r>
    </w:p>
    <w:p>
      <w:pPr>
        <w:pStyle w:val="[Normal]"/>
        <w:spacing w:line="360" w:lineRule="auto"/>
        <w:jc w:val="both"/>
        <w:rPr>
          <w:lang w:val="es-AR" w:eastAsia="es-AR" w:bidi="es-AR"/>
        </w:rPr>
      </w:pPr>
      <w:r>
        <w:rPr>
          <w:lang w:val="es-AR" w:eastAsia="es-AR" w:bidi="es-AR"/>
        </w:rPr>
        <w:t xml:space="preserve">	Conferido el traslado pertinente, es evacuado por la contraria mediante la presentación electrónica de fecha 1/2/2021, en la que peticiona se desestimen los agravios esgrimidos por la parte actora y se confirme el fallo anterior, con costas a la parte perdidosa.</w:t>
      </w:r>
    </w:p>
    <w:p>
      <w:pPr>
        <w:pStyle w:val="[Normal]"/>
        <w:spacing w:line="360" w:lineRule="auto"/>
        <w:jc w:val="both"/>
        <w:rPr>
          <w:lang w:val="es-AR" w:eastAsia="es-AR" w:bidi="es-AR"/>
        </w:rPr>
      </w:pPr>
      <w:r>
        <w:rPr>
          <w:lang w:val="es-AR" w:eastAsia="es-AR" w:bidi="es-AR"/>
        </w:rPr>
        <w:t xml:space="preserve">	En fecha 4/2/2021 se dictó el llamamiento de autos, que habiendo adquirido firmeza deja la causa en condiciones de ser fallada.</w:t>
      </w:r>
    </w:p>
    <w:p>
      <w:pPr>
        <w:pStyle w:val="[Normal]"/>
        <w:spacing w:line="360" w:lineRule="auto"/>
        <w:jc w:val="both"/>
        <w:rPr>
          <w:lang w:val="es-AR" w:eastAsia="es-AR" w:bidi="es-AR"/>
        </w:rPr>
      </w:pPr>
      <w:r>
        <w:rPr>
          <w:lang w:val="es-AR" w:eastAsia="es-AR" w:bidi="es-AR"/>
        </w:rPr>
        <w:t xml:space="preserve">	Ello asi, el primer punto de análisis es si hubo una correcta aplicación del derecho en la sentencia de primera instancia  y si la sentencia absolutoria de la sede penal era un obstáculo para el análisis de los parámetros de responsabilidad que rigen  en este fuero.</w:t>
      </w:r>
    </w:p>
    <w:p>
      <w:pPr>
        <w:pStyle w:val="[Normal]"/>
        <w:spacing w:line="360" w:lineRule="auto"/>
        <w:jc w:val="both"/>
        <w:rPr>
          <w:lang w:val="es-AR" w:eastAsia="es-AR" w:bidi="es-AR"/>
        </w:rPr>
      </w:pPr>
      <w:r>
        <w:rPr>
          <w:lang w:val="es-AR" w:eastAsia="es-AR" w:bidi="es-AR"/>
        </w:rPr>
        <w:t xml:space="preserve">	Sabido es que, en principio, si la sentencia penal es condenatoria resulta de aplicación lo normado por el artículo 1102 del C.C. y si es  absolutoria  la norma aplicable es el artículo 1103 del mismo Código como regla general, habiéndose elaborado una  profusa jurisprudencia alrededor de estos dos temas.</w:t>
      </w:r>
    </w:p>
    <w:p>
      <w:pPr>
        <w:pStyle w:val="[Normal]"/>
        <w:spacing w:line="360" w:lineRule="auto"/>
        <w:jc w:val="both"/>
        <w:rPr>
          <w:lang w:val="es-AR" w:eastAsia="es-AR" w:bidi="es-AR"/>
        </w:rPr>
      </w:pPr>
      <w:r>
        <w:rPr>
          <w:lang w:val="es-AR" w:eastAsia="es-AR" w:bidi="es-AR"/>
        </w:rPr>
        <w:t xml:space="preserve">	También es cierto que el hecho principal al que se refiere el mencionado artículo 1103 del Cód. Civil  comprende el hecho del accidente y también las circunstancias en las que el mismo se produjo. Por lo que, si en sede penal quedaron descriptas las circunstancias fácticas en que se fundó la absolución del imputado las mismas no pueden reverse en el proceso civil en el que se debata la responsabilidad emergente del hecho. Pero a ello ha de adunarse que no ocurre lo mismo con la valoración jurídica que realice el sentenciante penal de tales circunstancias, ya que en la instancia penal se valora la conducta del imputado y la opinión allí vertida sobre la actuación del encartado en el evento no obliga al juez civil.</w:t>
      </w:r>
    </w:p>
    <w:p>
      <w:pPr>
        <w:pStyle w:val="[Normal]"/>
        <w:spacing w:line="360" w:lineRule="auto"/>
        <w:jc w:val="both"/>
        <w:rPr>
          <w:lang w:val="es-AR" w:eastAsia="es-AR" w:bidi="es-AR"/>
        </w:rPr>
      </w:pPr>
      <w:r>
        <w:rPr>
          <w:lang w:val="es-AR" w:eastAsia="es-AR" w:bidi="es-AR"/>
        </w:rPr>
        <w:t xml:space="preserve">	Lo concreto es que en el plano fáctico rige la imposibilidad de vulnerar la lógica de la identidad, pues en ambas sentencias debe tomarse en forma idéntica el único hecho que dio lugar a los procesos pero respecto de la determinación de responsabilidad, no siempre encontramos esa identidad lógica, ya que la responsabilidad penal y civil no se confunden porque se aprecian con criterio distinto.</w:t>
      </w:r>
    </w:p>
    <w:p>
      <w:pPr>
        <w:pStyle w:val="[Normal]"/>
        <w:spacing w:line="360" w:lineRule="auto"/>
        <w:jc w:val="both"/>
        <w:rPr>
          <w:lang w:val="es-AR" w:eastAsia="es-AR" w:bidi="es-AR"/>
        </w:rPr>
      </w:pPr>
      <w:r>
        <w:rPr>
          <w:lang w:val="es-AR" w:eastAsia="es-AR" w:bidi="es-AR"/>
        </w:rPr>
        <w:t xml:space="preserve">		Llegado a este punto, estimo que la consideración efectuada por el juez de la anterior instancia ha sido correcta y ello en concordancia con que en autos no ha logrado comprometer la responsabilidad del conductor del camión, en tanto que la causa del hecho dañoso, conforme se señalara en la sentencia dictada en la causa penal de referencia, ha sido "... </w:t>
      </w:r>
      <w:r>
        <w:rPr>
          <w:i/>
          <w:lang w:val="es-AR" w:eastAsia="es-AR" w:bidi="es-AR"/>
        </w:rPr>
        <w:t xml:space="preserve">la propia víctima quien realizó la maniobra de manera imprudente y antirreglamentaria que -dió origen al accidente, no pudiéndose reprochar al imputado que no tuviera el dominio del vehículo como pretende el Agente Fiscal ... cuando se analizan actividades compartidas, con división de tareas o  trabajo, como es el caso del tránsito, rige el principio de confianza, es decir que no viola el deber objetivo la acción de quien confía en que el otro se comportará correctamente y en este caso el imputado, durante su tránsito, se encontró con un automóvil parado en su línea de marcha sin poder evitar la colisión</w:t>
      </w:r>
      <w:r>
        <w:rPr>
          <w:lang w:val="es-AR" w:eastAsia="es-AR" w:bidi="es-AR"/>
        </w:rPr>
        <w:t xml:space="preserve">" (Fs. 174 de la causa penal nro. 803/2014, caratulada "Cufre, Carlos Alberto s/lesiones culposas", que tramitara por ante el Juzgado Correccional Nro. 2 Departamental y que fuera ofrecida como prueba por las partes y que en este acto tengo a la vista).</w:t>
      </w:r>
    </w:p>
    <w:p>
      <w:pPr>
        <w:pStyle w:val="[Normal]"/>
        <w:spacing w:line="360" w:lineRule="auto"/>
        <w:jc w:val="both"/>
        <w:rPr>
          <w:lang w:val="es-AR" w:eastAsia="es-AR" w:bidi="es-AR"/>
        </w:rPr>
      </w:pPr>
      <w:r>
        <w:rPr>
          <w:lang w:val="es-AR" w:eastAsia="es-AR" w:bidi="es-AR"/>
        </w:rPr>
        <w:t xml:space="preserve">	A su vez, al ser tratado el tema por la Excma. Cámara de Apelación y Garantías en lo Penal Departamental, también al analizar las conductas de los partícipes del hecho, llega a la misma conclusión que la jueza penal, y en lo que interesa destacar dijo: "... observo que  los apelantes basan sus planteos alrededor de dos acciones que le serían imputables a Cufre: conducir a una velocidad no permitida e invadir el carril contrario. En esta línea he de resaltar que luce fundada la resolución materia de agravio, cuando determina en punto al eventual exceso de velocidad en que habría incurrido el imputado, que ello no se ha probado. Así, es un dato objetivo que el hecho sucedió en una ruta que atraviesa la zona urbana de la ciudad de Pergamino y que en ese tramo no existe cartelería que determine una velocidad distinta a la establecida en la legislación, es decir la de 60 kms. estipulada en el art.51 de la Ley 24.449, ello sin perjuicio de la que pudiera existir en la Escuela Agrotéctica o en el cruce del ferrocarril, lugares que el encartado ya había sobrepasado o en otros tramos extraños al hecho investigado.  Respecto a la valoración de los testimonios y pese a que el agravio  se corresponde con la  prueba "tasada" del viejo Código Procesal, he de decir que no advierto que la sentenciante "dividiera" la declaración de los testigos: Más allá de la poca credibilidad que destaca respecto de la aparición tardía en el proceso y que la percepción visual  del testigo Caccia acerca de aquéllo que relató, luce imposible por la obstrucción material existente, cierto es que el a quo claramente expresó  que de sus dichos, como los del testigo Roberto Rufino Fonseca, no se puede deducir que el camión circulara a una velocidad no permitida. Por otra parte, luce razonable ante lo expuesto por Perito accidentológico que asegura no contar con datos científicos  para determinarla,   la conclusión de la sentenciante cuando refiere que considerando las dimensiones del camión, que además remolcaba un acoplado, de no haber transitado Cufre a velocidad moderada, las consecuencias materiales y humanas pudieron haber resultado más graves y/o irreversibles. Tampoco resulta apropiado afirmar que Cufre no controló la unidad, desde que pudo estacionarla adecuadamente a pocos metros del lugar del impacto. La inexistencia de huella de frenado nada aporta en tal sentido, en la medida que no ha sido probado que la aplicación de frenos a modo de bloqueo hubiera derivado en la evitación del resultado o de uno menos lesivo. Del mismo modo no puede imputarse como violatoria del  deber objetivo de cuidado, la conducta representada por la trayectoria del camión  que invade el carril contrario en la maniobra de esquive, como consecuencia de  la aparición del automóvil que se interpone en su trayectoria de circulación , desde que la negligencia o la impericia se deben analizar ex ante y en este caso en  el marco de la emergencia suscitada por otro, ya que violentaría la razón la exigencia que se impetra, tendiente a poner en cabeza del conductor del camión, la obligación  de predecir la maniobra intempestiva del tercero y la conducta que éste adoptará ante su propia acción temeraria. En suma, no se advierte ni hay registro en acta de debate que lleve a cuestionar la percepción de la Sra. Jueza y como se ha expedido el Tribunal de Casación Penal Provincial, Sala II, en C 40.784 del 5 de octubre del 2010:</w:t>
      </w:r>
      <w:r>
        <w:rPr>
          <w:i/>
          <w:lang w:val="es-AR" w:eastAsia="es-AR" w:bidi="es-AR"/>
        </w:rPr>
        <w:t xml:space="preserve"> "El principio de inmediación entre el Juzgador y la prueba en el debate oral, que cobra mayor trascendencia en el caso de las declaraciones que se producen en la audiencia, impide en la instancia casatoria conmover el valor suasorio asignado por el órgano ante quien se produjeron tales deposiciones, más aún si -como en el caso- se explicitan válidas razones para conferirles entidad probatoria. Es del caso señalar que en la convicción judicial sobre los hechos existen dos niveles: uno en que la apreciación judicial depende sobre todo de la percepción de la prueba (la credibilidad de un testigo, el valor de la opinión de un perito, etc.), y otro que se constituye por el razonamiento del Sentenciante al efectuar las deducciones que emergen de las pruebas de cargo. Dentro del primer nivel a su vez pueden diferenciarse dos aspectos: la propia percepción judicial y la motivación de la</w:t>
      </w:r>
      <w:r>
        <w:rPr>
          <w:lang w:val="es-AR" w:eastAsia="es-AR" w:bidi="es-AR"/>
        </w:rPr>
        <w:t xml:space="preserve"> </w:t>
      </w:r>
      <w:r>
        <w:rPr>
          <w:i/>
          <w:lang w:val="es-AR" w:eastAsia="es-AR" w:bidi="es-AR"/>
        </w:rPr>
        <w:t xml:space="preserve">interpretación de la percepción. El examen casacional recae más que nada sobre el segundo nivel, pues dentro del primero se encuentra limitado a controlar la motivación de la interpretación de lo percibido con inmediación, como por ejemplo podría ser el examen de las razones esgrimidas por el Juzgador para aceptar un testimonio como veraz. En cambio, no podría extenderse al control de aquello que depende de la inmediación, como es la credibilidad que evidenció un testigo al declarar en la audiencia oral, pues el Tribunal de Casación Penal no ha presenciado la producción de dicha prueba. (Conf. Jorge Nieva Fenoll, "El Hecho y el Derecho en la Casación Penal", J.M. Bosch Editor, Barcelona, Año 2000)."</w:t>
      </w:r>
      <w:r>
        <w:rPr>
          <w:lang w:val="es-AR" w:eastAsia="es-AR" w:bidi="es-AR"/>
        </w:rPr>
        <w:t xml:space="preserve"> </w:t>
      </w:r>
      <w:r>
        <w:rPr>
          <w:u w:val="single"/>
          <w:lang w:val="es-AR" w:eastAsia="es-AR" w:bidi="es-AR"/>
        </w:rPr>
        <w:t xml:space="preserve">Lo expresado, lleva a convalidar lo decidido en primera instancia en punto a que las lesiones resultado del hecho materia de acusación, resultan imputables en forma exclusiva y excluyente a la víctima Fernando Torres</w:t>
      </w:r>
      <w:r>
        <w:rPr>
          <w:lang w:val="es-AR" w:eastAsia="es-AR" w:bidi="es-AR"/>
        </w:rPr>
        <w:t xml:space="preserve">.(Fs. 200 vta. /202 de la mencionada causa penal y el subrayado me pertenece).</w:t>
      </w:r>
    </w:p>
    <w:p>
      <w:pPr>
        <w:pStyle w:val="[Normal]"/>
        <w:spacing w:line="360" w:lineRule="auto"/>
        <w:jc w:val="both"/>
        <w:rPr>
          <w:lang w:val="es-AR" w:eastAsia="es-AR" w:bidi="es-AR"/>
        </w:rPr>
      </w:pPr>
      <w:r>
        <w:rPr>
          <w:lang w:val="es-AR" w:eastAsia="es-AR" w:bidi="es-AR"/>
        </w:rPr>
        <w:t xml:space="preserve">	Es decir que la manera en que se han expedido las sentencias de la sede represiva, me impide en esta instancia modificar lo decidido por el juez de la anterior, en cuando al rechazo de demanda sentenciado, proponiendo su confirmación.</w:t>
      </w:r>
    </w:p>
    <w:p>
      <w:pPr>
        <w:pStyle w:val="[Normal]"/>
        <w:spacing w:line="360" w:lineRule="auto"/>
        <w:jc w:val="both"/>
        <w:rPr>
          <w:color w:val="000000"/>
          <w:lang w:val="es-AR" w:eastAsia="es-AR" w:bidi="es-AR"/>
        </w:rPr>
      </w:pPr>
      <w:r>
        <w:rPr>
          <w:lang w:val="es-AR" w:eastAsia="es-AR" w:bidi="es-AR"/>
        </w:rPr>
        <w:t xml:space="preserve">		</w:t>
      </w:r>
      <w:r>
        <w:rPr>
          <w:color w:val="000000"/>
          <w:lang w:val="es-AR" w:eastAsia="es-AR" w:bidi="es-AR"/>
        </w:rPr>
        <w:t xml:space="preserve">Es que, el juez primero dejó establecido que su decisión no puede diferir del encuadre fáctico  sentenciado en sede penal, en tanto que como señalara en su sentencia: "... </w:t>
      </w:r>
      <w:r>
        <w:rPr>
          <w:i/>
          <w:color w:val="000000"/>
          <w:lang w:val="es-AR" w:eastAsia="es-AR" w:bidi="es-AR"/>
        </w:rPr>
        <w:t xml:space="preserve">de los claros términos del fallo dictado en sede penal se destaca que el evento ilícito resulta imputable en forma exclusiva y excluyente al aquí actor, quien con su accionar - culpa de la víctima - rompió el nexo causal. En punto a la forma y causa de producción del accidente, cabe señalar que: ... la responsabilidad civil del demandado debe ser analizada partiendo del esquema fáctico - mecánica del hecho - que la justicia penal admitió como sustento lógico jurídico del pronunciamiento allí emitido, es decir, habiéndose expedido la sentencia penal sobre la forma y causa de producción del accidente, tales conclusiones no son susceptibles de variarse en este ámbito jurisdiccional so riesgo de producir un escándalo jurídico, quedando simplemente la posibilidad de valorar el aludido cuadro fáctico a la luz de las normas que gobiernan la responsabilidad civil ( art. 1103 del Cód. Civil ) (Cámara Civil y Comercial La Plata, 0103,10/08/95 )</w:t>
      </w:r>
      <w:r>
        <w:rPr>
          <w:color w:val="000000"/>
          <w:lang w:val="es-AR" w:eastAsia="es-AR" w:bidi="es-AR"/>
        </w:rPr>
        <w:t xml:space="preserve">.".</w:t>
      </w:r>
    </w:p>
    <w:p>
      <w:pPr>
        <w:pStyle w:val="[Normal]"/>
        <w:spacing w:line="360" w:lineRule="auto"/>
        <w:jc w:val="both"/>
        <w:rPr>
          <w:color w:val="000000"/>
          <w:lang w:val="es-AR" w:eastAsia="es-AR" w:bidi="es-AR"/>
        </w:rPr>
      </w:pPr>
      <w:r>
        <w:rPr>
          <w:color w:val="000000"/>
          <w:lang w:val="es-AR" w:eastAsia="es-AR" w:bidi="es-AR"/>
        </w:rPr>
        <w:t xml:space="preserve">	Ello en tanto que, "...  </w:t>
      </w:r>
      <w:r>
        <w:rPr>
          <w:i/>
          <w:color w:val="000000"/>
          <w:lang w:val="es-AR" w:eastAsia="es-AR" w:bidi="es-AR"/>
        </w:rPr>
        <w:t xml:space="preserve">Lo que limita al juez civil es el hecho principal como dato fáctico o, mejor aún, como suceso histórico, circunscripto a sus características de tiempo, forma y modo. Se trata de evitar el escándalo jurídico al que conllevarían sentencias contradictorias sobre la existencia de un mismo hecho, tal como fue la intención del legislador al incorporar la prohibición del art. 1103 del Código Civil, según se desprende de la nota a dicho precepto</w:t>
      </w:r>
      <w:r>
        <w:rPr>
          <w:color w:val="000000"/>
          <w:lang w:val="es-AR" w:eastAsia="es-AR" w:bidi="es-AR"/>
        </w:rPr>
        <w:t xml:space="preserve">. (CCI Art. 1103 SCBA LP C 120363 S 19/09/2018 - Carátula: Coppa, Abel Mariano y otros contra Pelayo, Carlos Javier y otros. Daños y perjuicios y su acumulada Maldonado, Pedro" Cristhian contra Pelayo, Carlos. Daños y perjuicios - sumario Juba: B4201737).</w:t>
      </w:r>
    </w:p>
    <w:p>
      <w:pPr>
        <w:pStyle w:val="[Normal]"/>
        <w:spacing w:line="360" w:lineRule="auto"/>
        <w:jc w:val="both"/>
        <w:rPr>
          <w:color w:val="000000"/>
          <w:lang w:val="es-AR" w:eastAsia="es-AR" w:bidi="es-AR"/>
        </w:rPr>
      </w:pPr>
      <w:r>
        <w:rPr>
          <w:color w:val="000000"/>
          <w:lang w:val="es-AR" w:eastAsia="es-AR" w:bidi="es-AR"/>
        </w:rPr>
        <w:t xml:space="preserve">	"</w:t>
      </w:r>
      <w:r>
        <w:rPr>
          <w:i/>
          <w:color w:val="000000"/>
          <w:lang w:val="es-AR" w:eastAsia="es-AR" w:bidi="es-AR"/>
        </w:rPr>
        <w:t xml:space="preserve">La autoridad de cosa juzgada" que emana de la sentencia penal de condena alcanza no solamente al hecho principal sino también a las circunstancias en que se cometió y que fueron meritadas por el juez de la causa. Y que ello es así, no sólo porque resulta aplicable el art. 1102 del Código Civil, sino porque debe evitarse el escándalo jurídico que se produciría si distintos jueces (cualquiera sea el fuero) arribaran a pronunciamientos contradictorios</w:t>
      </w:r>
      <w:r>
        <w:rPr>
          <w:color w:val="000000"/>
          <w:lang w:val="es-AR" w:eastAsia="es-AR" w:bidi="es-AR"/>
        </w:rPr>
        <w:t xml:space="preserve">." (SCBA LP C 98848 S 03/12/2008 - Carátula: Antognozzi, Juan G. c/Aconcagua Cía. de Seguros S.A. s/Cumplimiento de contrato", sumario Juba: B23431).-</w:t>
      </w:r>
    </w:p>
    <w:p>
      <w:pPr>
        <w:pStyle w:val="[Normal]"/>
        <w:spacing w:line="360" w:lineRule="auto"/>
        <w:ind w:firstLine="1134"/>
        <w:jc w:val="both"/>
        <w:rPr>
          <w:color w:val="000000"/>
          <w:lang w:val="es-AR" w:eastAsia="es-AR" w:bidi="es-AR"/>
        </w:rPr>
      </w:pPr>
      <w:r>
        <w:rPr>
          <w:color w:val="000000"/>
          <w:lang w:val="es-AR" w:eastAsia="es-AR" w:bidi="es-AR"/>
        </w:rPr>
        <w:t xml:space="preserve">Y sobre ello, esto es la decisión en base a lo sentenciado en sede penal, la expresión de agravios nada rebate, sino que pretende discrepar con lo decidido, en base a la actuación del demandado Cufré, destacando su mayor responsabilidad, debido a su condición "de profesional de la conducción" o de la "función preventiva o deber de prevención el daño"; aspectos que no fueron incluso invocados en la demanda de autos, por lo que además impide que esta Alzada lo trate por imperio procesal (Art. 272 C.P.C.y C.).-</w:t>
      </w:r>
    </w:p>
    <w:p>
      <w:pPr>
        <w:pStyle w:val="[Normal]"/>
        <w:spacing w:line="360" w:lineRule="auto"/>
        <w:ind w:firstLine="1134"/>
        <w:jc w:val="both"/>
        <w:rPr>
          <w:color w:val="000000"/>
          <w:lang w:val="es-AR" w:eastAsia="es-AR" w:bidi="es-AR"/>
        </w:rPr>
      </w:pPr>
      <w:r>
        <w:rPr>
          <w:color w:val="000000"/>
          <w:lang w:val="es-AR" w:eastAsia="es-AR" w:bidi="es-AR"/>
        </w:rPr>
        <w:t xml:space="preserve">Por las razones dadas, citas legales, jurisprudenciales y doctrinarias de referencia,</w:t>
      </w:r>
    </w:p>
    <w:p>
      <w:pPr>
        <w:pStyle w:val="[Normal]"/>
        <w:spacing w:line="360" w:lineRule="auto"/>
        <w:ind w:firstLine="1134"/>
        <w:jc w:val="both"/>
        <w:rPr>
          <w:color w:val="000000"/>
          <w:lang w:val="es-AR" w:eastAsia="es-AR" w:bidi="es-AR"/>
        </w:rPr>
      </w:pPr>
      <w:r>
        <w:rPr>
          <w:b/>
          <w:color w:val="000000"/>
          <w:lang w:val="es-AR" w:eastAsia="es-AR" w:bidi="es-AR"/>
        </w:rPr>
        <w:t xml:space="preserve">VOTO POR LA AFIRMATIVA.</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la señora Jueza, Dra. Graciela Scaraffía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el señor Juez, Roberto Manuel Degleue dijo:</w:t>
      </w:r>
    </w:p>
    <w:p>
      <w:pPr>
        <w:pStyle w:val="[Normal]"/>
        <w:spacing w:line="36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w:t>
      </w:r>
    </w:p>
    <w:p>
      <w:pPr>
        <w:pStyle w:val="[Normal]"/>
        <w:spacing w:line="360" w:lineRule="auto"/>
        <w:ind w:firstLine="1134"/>
        <w:jc w:val="both"/>
        <w:rPr>
          <w:color w:val="000000"/>
          <w:lang w:val="es-AR" w:eastAsia="es-AR" w:bidi="es-AR"/>
        </w:rPr>
      </w:pPr>
      <w:r>
        <w:rPr>
          <w:color w:val="000000"/>
          <w:lang w:val="es-AR" w:eastAsia="es-AR" w:bidi="es-AR"/>
        </w:rPr>
        <w:t xml:space="preserve">Rechazar el recurso de apelación interpuesto y en su mérito confirmar la sentencia de primera instancia en todas sus partes.</w:t>
      </w:r>
    </w:p>
    <w:p>
      <w:pPr>
        <w:pStyle w:val="[Normal]"/>
        <w:spacing w:line="360" w:lineRule="auto"/>
        <w:ind w:firstLine="1134"/>
        <w:jc w:val="both"/>
        <w:rPr>
          <w:color w:val="000000"/>
          <w:lang w:val="es-AR" w:eastAsia="es-AR" w:bidi="es-AR"/>
        </w:rPr>
      </w:pPr>
      <w:r>
        <w:rPr>
          <w:color w:val="000000"/>
          <w:lang w:val="es-AR" w:eastAsia="es-AR" w:bidi="es-AR"/>
        </w:rPr>
        <w:t xml:space="preserve">Costas de Alzada a la actora que resulta vencida (Art. 68 del C.P.C. y C.)</w:t>
      </w:r>
    </w:p>
    <w:p>
      <w:pPr>
        <w:pStyle w:val="[Normal]"/>
        <w:spacing w:line="360" w:lineRule="auto"/>
        <w:ind w:firstLine="1134"/>
        <w:jc w:val="both"/>
        <w:rPr>
          <w:lang w:val="es-AR" w:eastAsia="es-AR" w:bidi="es-AR"/>
        </w:rPr>
      </w:pPr>
      <w:r>
        <w:rPr>
          <w:color w:val="000000"/>
          <w:lang w:val="es-AR" w:eastAsia="es-AR" w:bidi="es-AR"/>
        </w:rPr>
        <w:t xml:space="preserve">Regular los honorarios del Dr. Osvaldo Horacio Flageat por las tareas realizadas en esta sede </w:t>
      </w:r>
      <w:r>
        <w:rPr>
          <w:lang w:val="es-AR" w:eastAsia="es-AR" w:bidi="es-AR"/>
        </w:rPr>
        <w:t xml:space="preserve">teniendo en cuenta los honorarios fijados en la sentencia de fecha 15-8-2019, la expresión de agravios presentada electrónicamente el 16-12-2020, así como el valor y mérito de la labor desarrollada y el resultado obtenido, en la suma equivalente a 4,4 jus de unidad arancelaria (arts. 24, 31 y ccs. Ley 14.967).</w:t>
      </w:r>
    </w:p>
    <w:p>
      <w:pPr>
        <w:pStyle w:val="[Normal]"/>
        <w:spacing w:line="360" w:lineRule="auto"/>
        <w:jc w:val="both"/>
        <w:rPr>
          <w:color w:val="000000"/>
          <w:lang w:val="es-AR" w:eastAsia="es-AR" w:bidi="es-AR"/>
        </w:rPr>
      </w:pPr>
      <w:r>
        <w:rPr>
          <w:lang w:val="es-AR" w:eastAsia="es-AR" w:bidi="es-AR"/>
        </w:rPr>
        <w:t xml:space="preserve">               	Adiciónese a dicho monto el porcentual legal pertinente (Ley 6716 y sus modificatorias T.O. Dec.4771/95; B.O. 15/2/96) y el referente al IVA si correspondiere.</w:t>
      </w:r>
    </w:p>
    <w:p>
      <w:pPr>
        <w:pStyle w:val="[Normal]"/>
        <w:spacing w:line="360" w:lineRule="auto"/>
        <w:ind w:firstLine="1134"/>
        <w:jc w:val="both"/>
        <w:rPr>
          <w:color w:val="000000"/>
          <w:lang w:val="es-AR" w:eastAsia="es-AR" w:bidi="es-AR"/>
        </w:rPr>
      </w:pPr>
      <w:r>
        <w:rPr>
          <w:color w:val="000000"/>
          <w:lang w:val="es-AR" w:eastAsia="es-AR" w:bidi="es-AR"/>
        </w:rPr>
        <w:t xml:space="preserve">Diferir la regulación de honorarios del Dr. Pablo Rodolfo Pacífico para el momento que adquieran firmeza los estipendios regulados en la primera instancia a su favor. </w:t>
      </w:r>
    </w:p>
    <w:p>
      <w:pPr>
        <w:pStyle w:val="[Normal]"/>
        <w:spacing w:line="360" w:lineRule="auto"/>
        <w:ind w:firstLine="1134"/>
        <w:jc w:val="both"/>
        <w:rPr>
          <w:color w:val="000000"/>
          <w:lang w:val="es-AR" w:eastAsia="es-AR" w:bidi="es-AR"/>
        </w:rPr>
      </w:pPr>
      <w:r>
        <w:rPr>
          <w:b/>
          <w:color w:val="000000"/>
          <w:lang w:val="es-AR" w:eastAsia="es-AR" w:bidi="es-AR"/>
        </w:rPr>
        <w:t xml:space="preserve">ASI LO VOTO.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la señora Jueza, Dra. Graciela Scaraffía,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color w:val="000000"/>
          <w:lang w:val="es-AR" w:eastAsia="es-AR" w:bidi="es-AR"/>
        </w:rPr>
      </w:pPr>
      <w:r>
        <w:rPr>
          <w:b/>
          <w:color w:val="000000"/>
          <w:u w:val="single"/>
          <w:lang w:val="es-AR" w:eastAsia="es-AR" w:bidi="es-AR"/>
        </w:rPr>
        <w:t xml:space="preserve">S E N T E N C I A</w:t>
      </w:r>
    </w:p>
    <w:p>
      <w:pPr>
        <w:pStyle w:val="[Normal]"/>
        <w:spacing w:line="360" w:lineRule="auto"/>
        <w:ind w:firstLine="1134"/>
        <w:jc w:val="both"/>
        <w:rPr>
          <w:color w:val="000000"/>
          <w:lang w:val="es-AR" w:eastAsia="es-AR" w:bidi="es-AR"/>
        </w:rPr>
      </w:pPr>
      <w:r>
        <w:rPr>
          <w:color w:val="000000"/>
          <w:lang w:val="es-AR" w:eastAsia="es-AR" w:bidi="es-AR"/>
        </w:rPr>
        <w:t xml:space="preserve">Rechazar el recurso de apelación interpuesto y en su mérito confirmar la sentencia de primera instancia en todas sus partes.</w:t>
      </w:r>
    </w:p>
    <w:p>
      <w:pPr>
        <w:pStyle w:val="[Normal]"/>
        <w:spacing w:line="360" w:lineRule="auto"/>
        <w:ind w:firstLine="1134"/>
        <w:jc w:val="both"/>
        <w:rPr>
          <w:color w:val="000000"/>
          <w:lang w:val="es-AR" w:eastAsia="es-AR" w:bidi="es-AR"/>
        </w:rPr>
      </w:pPr>
      <w:r>
        <w:rPr>
          <w:color w:val="000000"/>
          <w:lang w:val="es-AR" w:eastAsia="es-AR" w:bidi="es-AR"/>
        </w:rPr>
        <w:t xml:space="preserve">Costas de Alzada a la actora que resulta vencida (Art. 68 del C.P.C. y C.)</w:t>
      </w:r>
    </w:p>
    <w:p>
      <w:pPr>
        <w:pStyle w:val="[Normal]"/>
        <w:spacing w:line="360" w:lineRule="auto"/>
        <w:ind w:firstLine="1134"/>
        <w:jc w:val="both"/>
        <w:rPr>
          <w:lang w:val="es-AR" w:eastAsia="es-AR" w:bidi="es-AR"/>
        </w:rPr>
      </w:pPr>
      <w:r>
        <w:rPr>
          <w:color w:val="000000"/>
          <w:lang w:val="es-AR" w:eastAsia="es-AR" w:bidi="es-AR"/>
        </w:rPr>
        <w:t xml:space="preserve">Regular los honorarios del Dr. Osvaldo Horacio Flageat por las tareas realizadas en esta sede </w:t>
      </w:r>
      <w:r>
        <w:rPr>
          <w:lang w:val="es-AR" w:eastAsia="es-AR" w:bidi="es-AR"/>
        </w:rPr>
        <w:t xml:space="preserve">teniendo en cuenta los honorarios fijados en la sentencia de fecha 15-8-2019, la expresión de agravios presentada electrónicamente el 16-12-2020, así como el valor y mérito de la labor desarrollada y el resultado obtenido, en la suma equivalente a 4,4 jus de unidad arancelaria (arts. 24, 31 y ccs. Ley 14.967).</w:t>
      </w:r>
    </w:p>
    <w:p>
      <w:pPr>
        <w:pStyle w:val="[Normal]"/>
        <w:spacing w:line="360" w:lineRule="auto"/>
        <w:jc w:val="both"/>
        <w:rPr>
          <w:color w:val="000000"/>
          <w:lang w:val="es-AR" w:eastAsia="es-AR" w:bidi="es-AR"/>
        </w:rPr>
      </w:pPr>
      <w:r>
        <w:rPr>
          <w:lang w:val="es-AR" w:eastAsia="es-AR" w:bidi="es-AR"/>
        </w:rPr>
        <w:t xml:space="preserve">               	Adiciónese a dicho monto el porcentual legal pertinente (Ley 6716 y sus modificatorias T.O. Dec.4771/95; B.O. 15/2/96) y el referente al IVA si correspondiere.</w:t>
      </w:r>
    </w:p>
    <w:p>
      <w:pPr>
        <w:pStyle w:val="[Normal]"/>
        <w:spacing w:line="360" w:lineRule="auto"/>
        <w:ind w:firstLine="1134"/>
        <w:jc w:val="both"/>
        <w:rPr>
          <w:color w:val="000000"/>
          <w:lang w:val="es-AR" w:eastAsia="es-AR" w:bidi="es-AR"/>
        </w:rPr>
      </w:pPr>
      <w:r>
        <w:rPr>
          <w:color w:val="000000"/>
          <w:lang w:val="es-AR" w:eastAsia="es-AR" w:bidi="es-AR"/>
        </w:rPr>
        <w:t xml:space="preserve">Diferir la regulación de honorarios del Dr. Pablo Rodolfo Pacífico para el momento que adquieran firmeza los estipendios regulados en la primera instancia a su favor. </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jc w:val="both"/>
        <w:rPr>
          <w:color w:val="000000"/>
          <w:lang w:val="es-AR" w:eastAsia="es-AR" w:bidi="es-AR"/>
        </w:rPr>
      </w:pPr>
    </w:p>
    <w:p>
      <w:pPr>
        <w:pStyle w:val="[Normal]"/>
        <w:spacing w:line="360" w:lineRule="auto"/>
        <w:jc w:val="both"/>
        <w:rPr>
          <w:color w:val="000000"/>
          <w:lang w:val="es-AR" w:eastAsia="es-AR" w:bidi="es-AR"/>
        </w:rPr>
      </w:pPr>
      <w:r>
        <w:rPr>
          <w:color w:val="000000"/>
          <w:lang w:val="es-AR" w:eastAsia="es-AR" w:bidi="es-AR"/>
        </w:rPr>
        <w:t xml:space="preserve">20204070181@NOTIFICACIONES.SCBA.GOV.AR</w:t>
      </w:r>
    </w:p>
    <w:p>
      <w:pPr>
        <w:pStyle w:val="[Normal]"/>
        <w:spacing w:line="360" w:lineRule="auto"/>
        <w:jc w:val="both"/>
        <w:rPr>
          <w:color w:val="000000"/>
          <w:lang w:val="es-AR" w:eastAsia="es-AR" w:bidi="es-AR"/>
        </w:rPr>
      </w:pPr>
      <w:r>
        <w:rPr>
          <w:color w:val="000000"/>
          <w:lang w:val="es-AR" w:eastAsia="es-AR" w:bidi="es-AR"/>
        </w:rPr>
        <w:t xml:space="preserve">20216012152@NOTIFICACIONES.SCBA.GOV.AR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rPr>
          <w:color w:val="000000"/>
          <w:lang w:val="es-AR" w:eastAsia="es-AR" w:bidi="es-AR"/>
        </w:rPr>
        <w:t xml:space="preserve">LVIGNAROLI@MPBA.GOV.AR</w:t>
      </w: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25/03/2021 10:20:59 -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25/03/2021 10:48:36 -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25/03/2021 10:52:01 - ALBORNOZ Ana Maria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20204070181@NOTIFICACIONES.SCBA.GOV.AR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20216012152@NOTIFICACIONES.SCBA.GOV.AR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‰8x")è%)Áj4Š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248802090005099674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pPr>
    </w:p>
    <w:sectPr>
      <w:headerReference w:type="default" r:id="rId00004"/>
      <w:footerReference w:type="default" r:id="rId00005"/>
      <w:pgSz w:w="11906" w:h="16837"/>
      <w:pgMar w:top="3402" w:right="851"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tbl>
    <w:tblPr>
      <w:tblW w:w="0" w:type="auto"/>
      <w:jc w:val="left"/>
      <w:tblInd w:w="30" w:type="dxa"/>
      <w:tblBorders>
        <w:top w:val="none"/>
        <w:left w:val="none"/>
        <w:bottom w:val="none"/>
        <w:right w:val="none"/>
        <w:insideH w:val="none"/>
        <w:insideV w:val="none"/>
      </w:tblBorders>
      <w:tblLayout w:type="fixed"/>
      <w:tblCellMar>
        <w:top w:w="0" w:type="dxa"/>
        <w:left w:w="30" w:type="dxa"/>
        <w:bottom w:w="0" w:type="dxa"/>
        <w:right w:w="30" w:type="dxa"/>
      </w:tblCellMar>
    </w:tblPr>
    <w:tblGrid>
      <w:gridCol w:w="8220"/>
    </w:tblGrid>
    <w:tr>
      <w:tc>
        <w:tcPr>
          <w:tcW w:w="8220" w:type="dxa"/>
          <w:shd w:val="clear" w:color="auto" w:fill="auto"/>
          <w:vAlign w:val="top"/>
        </w:tcPr>
        <w:p>
          <w:pPr>
            <w:pStyle w:val="[Normal]"/>
            <w:rPr>
              <w:b/>
              <w:color w:val="000000"/>
              <w:sz w:val="20"/>
              <w:lang w:val="es-AR" w:eastAsia="es-AR" w:bidi="es-AR"/>
            </w:rPr>
          </w:pPr>
          <w:r>
            <w:rPr>
              <w:b/>
              <w:color w:val="000000"/>
              <w:sz w:val="20"/>
              <w:lang w:val="es-AR" w:eastAsia="es-AR" w:bidi="es-AR"/>
            </w:rPr>
            <w:t xml:space="preserve">4121 - 20 - TORRES FERNANDO Y OTRO/A C/ CUFRE CARLOS ALBERTO Y OTROS  S/DAÑOS Y PERJ.AUTOM. C/LES. O MUERTE (EXC.ESTADO)   </w:t>
          </w:r>
        </w:p>
        <w:p>
          <w:pPr>
            <w:pStyle w:val="[Normal]"/>
            <w:jc w:val="right"/>
            <w:rPr>
              <w:lang w:val="es-AR" w:eastAsia="es-AR" w:bidi="es-AR"/>
            </w:rPr>
          </w:pPr>
          <w:r>
            <w:rPr>
              <w:rFonts w:ascii="BarCode 128" w:hAnsi="BarCode 128" w:eastAsia="BarCode 128" w:cs="BarCode 128"/>
              <w:color w:val="000000"/>
              <w:sz w:val="50"/>
              <w:lang w:val="es-AR" w:eastAsia="es-AR" w:bidi="es-AR"/>
            </w:rPr>
            <w:t xml:space="preserve">‰8x")è%)Áj4Š</w:t>
          </w:r>
        </w:p>
      </w:tc>
    </w:tr>
    <w:tr>
      <w:tc>
        <w:tcPr>
          <w:tcW w:w="8220" w:type="dxa"/>
          <w:shd w:val="clear" w:color="auto" w:fill="auto"/>
          <w:vAlign w:val="top"/>
        </w:tcPr>
        <w:p>
          <w:pPr>
            <w:pStyle w:val="[Normal]"/>
            <w:rPr>
              <w:lang w:val="es-AR" w:eastAsia="es-AR" w:bidi="es-AR"/>
            </w:rPr>
          </w:pPr>
          <w:r>
            <w:rPr>
              <w:lang w:val="es-AR" w:eastAsia="es-AR" w:bidi="es-AR"/>
            </w:rPr>
            <w:drawing>
              <wp:inline distT="0" distB="0" distL="0" distR="0">
                <wp:extent cx="1466850" cy="9525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1466850" cy="952500"/>
                        </a:xfrm>
                        <a:prstGeom prst="rect">
                          <a:avLst/>
                        </a:prstGeom>
                      </pic:spPr>
                    </pic:pic>
                  </a:graphicData>
                </a:graphic>
              </wp:inline>
            </w:drawing>
          </w:r>
        </w:p>
      </w:tc>
    </w:tr>
  </w:tbl>
  <w:p>
    <w:pPr>
      <w:pStyle w:val="[Normal]"/>
      <w:jc w:val="right"/>
      <w:rPr>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EM">
    <w:name w:val="EM"/>
    <w:qFormat/>
    <w:rPr>
      <w:i/>
      <w:i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