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color w:val="000000"/>
          <w:lang w:val="es-AR" w:eastAsia="es-AR" w:bidi="es-AR"/>
        </w:rPr>
      </w:pPr>
      <w:r>
        <w:rPr>
          <w:b/>
          <w:lang w:val="es-AR" w:eastAsia="es-AR" w:bidi="es-AR"/>
        </w:rPr>
        <w:t xml:space="preserve">	Registro N° 28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146/148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23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4124-20</w:t>
      </w:r>
      <w:r>
        <w:rPr>
          <w:lang w:val="es-AR" w:eastAsia="es-AR" w:bidi="es-AR"/>
        </w:rPr>
        <w:t xml:space="preserve"> caratulada </w:t>
      </w:r>
      <w:r>
        <w:rPr>
          <w:b/>
          <w:lang w:val="es-AR" w:eastAsia="es-AR" w:bidi="es-AR"/>
        </w:rPr>
        <w:t xml:space="preserve">"</w:t>
      </w:r>
      <w:r>
        <w:rPr>
          <w:b/>
          <w:color w:val="000000"/>
          <w:lang w:val="es-AR" w:eastAsia="es-AR" w:bidi="es-AR"/>
        </w:rPr>
        <w:t xml:space="preserve">CREDINEGOCIOS MOSCASIL S.A.  C/ GAVAISE BESCOCHEA ESTEFANIA VICTORIA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85.210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Graciela Scaraffia - Roberto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Señora Jueza de la primera instancia mandó llevar a cabo la ejecución, hasta tanto la deudora Gavaise Bescochea Estefania Victoria, haga al acreedor CREDINEGOCIOS MOSCASIL S.A., íntegro pago del capital dado en préstamo, de PESOS TREINTA Y UN MIL QUINIENTOS CON 0/100 ($31.500,00), con más el interés a la tasa pasiva anual promedio del mercado difundida por el Banco Central de la República Argentina vigente a la fecha de celebración del contrato, desde la fecha de mora declarada (07/04/2020), con más las costas de la ejecución.-</w:t>
      </w:r>
    </w:p>
    <w:p>
      <w:pPr>
        <w:pStyle w:val="[Normal]"/>
        <w:spacing w:line="360" w:lineRule="auto"/>
        <w:ind w:firstLine="1134"/>
        <w:jc w:val="both"/>
        <w:rPr>
          <w:lang w:val="es-AR" w:eastAsia="es-AR" w:bidi="es-AR"/>
        </w:rPr>
      </w:pPr>
      <w:r>
        <w:rPr>
          <w:lang w:val="es-AR" w:eastAsia="es-AR" w:bidi="es-AR"/>
        </w:rPr>
        <w:t xml:space="preserve">Contra tal decisorio, la actora dedujo recurso de apelación en fecha 26/10/2020, el que fuera concedido en relación y con efecto suspensivo el día 3/11/2020, quedando incontestado por la contraparte.-</w:t>
      </w:r>
    </w:p>
    <w:p>
      <w:pPr>
        <w:pStyle w:val="[Normal]"/>
        <w:spacing w:line="360" w:lineRule="auto"/>
        <w:ind w:firstLine="1134"/>
        <w:jc w:val="both"/>
        <w:rPr>
          <w:lang w:val="es-AR" w:eastAsia="es-AR" w:bidi="es-AR"/>
        </w:rPr>
      </w:pPr>
      <w:r>
        <w:rPr>
          <w:lang w:val="es-AR" w:eastAsia="es-AR" w:bidi="es-AR"/>
        </w:rPr>
        <w:t xml:space="preserve">En fecha 1/12/2020 se llamó a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recurrente se agravia del decisorio atacado en cuanto morigeró los intereses pactados por las partes, y los fijó en la tasa pasiva anual promedio del mercado difundida por el Banco Central de la República Argentina vigente a la fecha de celebración del contrato, esgrimiendo que la jueza de grado omitió dar fundamentación alguna al respecto.-</w:t>
      </w:r>
    </w:p>
    <w:p>
      <w:pPr>
        <w:pStyle w:val="[Normal]"/>
        <w:spacing w:line="360" w:lineRule="auto"/>
        <w:ind w:firstLine="1134"/>
        <w:jc w:val="both"/>
        <w:rPr>
          <w:lang w:val="es-AR" w:eastAsia="es-AR" w:bidi="es-AR"/>
        </w:rPr>
      </w:pPr>
      <w:r>
        <w:rPr>
          <w:lang w:val="es-AR" w:eastAsia="es-AR" w:bidi="es-AR"/>
        </w:rPr>
        <w:t xml:space="preserve">Entiende que tal proceder representa un ejercicio abusivo y arbitrario de la facultad que tienen los jueces de morigerar los intereses en caso que resulten excesivos.-</w:t>
      </w:r>
    </w:p>
    <w:p>
      <w:pPr>
        <w:pStyle w:val="[Normal]"/>
        <w:spacing w:line="360" w:lineRule="auto"/>
        <w:ind w:firstLine="1134"/>
        <w:jc w:val="both"/>
        <w:rPr>
          <w:lang w:val="es-AR" w:eastAsia="es-AR" w:bidi="es-AR"/>
        </w:rPr>
      </w:pPr>
      <w:r>
        <w:rPr>
          <w:lang w:val="es-AR" w:eastAsia="es-AR" w:bidi="es-AR"/>
        </w:rPr>
        <w:t xml:space="preserve">Sobre el particular, refiere que es principio rector en nuestro derecho que las partes pueden pactar los intereses que mejor representen y protejan los fines que han tenido en cuenta a la hora de celebrar el negocio jurídico. Y que si bien dicha regla no es absoluta, los jueces pueden </w:t>
      </w:r>
      <w:r>
        <w:rPr>
          <w:rStyle w:val="EM"/>
          <w:i w:val="off"/>
          <w:lang w:val="es-AR" w:eastAsia="es-AR" w:bidi="es-AR"/>
        </w:rPr>
        <w:t xml:space="preserve">reducir o morigerar los mismos, si en el caso particular </w:t>
      </w:r>
      <w:r>
        <w:rPr>
          <w:lang w:val="es-AR" w:eastAsia="es-AR" w:bidi="es-AR"/>
        </w:rPr>
        <w:t xml:space="preserve">se comprueba </w:t>
      </w:r>
      <w:r>
        <w:rPr>
          <w:rStyle w:val="EM"/>
          <w:i w:val="off"/>
          <w:lang w:val="es-AR" w:eastAsia="es-AR" w:bidi="es-AR"/>
        </w:rPr>
        <w:t xml:space="preserve">una práctica abusiva, usuraria o confiscatoria.-</w:t>
      </w:r>
    </w:p>
    <w:p>
      <w:pPr>
        <w:pStyle w:val="[Normal]"/>
        <w:spacing w:line="360" w:lineRule="auto"/>
        <w:ind w:firstLine="1134"/>
        <w:jc w:val="both"/>
        <w:rPr>
          <w:lang w:val="es-AR" w:eastAsia="es-AR" w:bidi="es-AR"/>
        </w:rPr>
      </w:pPr>
      <w:r>
        <w:rPr>
          <w:lang w:val="es-AR" w:eastAsia="es-AR" w:bidi="es-AR"/>
        </w:rPr>
        <w:t xml:space="preserve">Pone de resalto que es criterio sostenido de este Tribunal</w:t>
      </w:r>
      <w:r>
        <w:rPr>
          <w:b/>
          <w:lang w:val="es-AR" w:eastAsia="es-AR" w:bidi="es-AR"/>
        </w:rPr>
        <w:t xml:space="preserve"> </w:t>
      </w:r>
      <w:r>
        <w:rPr>
          <w:lang w:val="es-AR" w:eastAsia="es-AR" w:bidi="es-AR"/>
        </w:rPr>
        <w:t xml:space="preserve">que </w:t>
      </w:r>
      <w:r>
        <w:rPr>
          <w:rStyle w:val="EM"/>
          <w:lang w:val="es-AR" w:eastAsia="es-AR" w:bidi="es-AR"/>
        </w:rPr>
        <w:t xml:space="preserve">"cuando existe acuerdo de partes con relación al cómputo de intereses, cabe aplicar éste (arts. 958, 1003, 1004 y ccs. del CCyC) (conf. CAP causa N° 2921 del 31-8-2017 Reg. N° 11/2017)</w:t>
      </w:r>
      <w:r>
        <w:rPr>
          <w:lang w:val="es-AR" w:eastAsia="es-AR" w:bidi="es-AR"/>
        </w:rPr>
        <w:t xml:space="preserve"> y que </w:t>
      </w:r>
      <w:r>
        <w:rPr>
          <w:i/>
          <w:lang w:val="es-AR" w:eastAsia="es-AR" w:bidi="es-AR"/>
        </w:rPr>
        <w:t xml:space="preserve">"...las facultades judiciales morigeradoras de los intereses pactados proceden de hallarse comprobada una práctica abusiva, usuraria o confiscatoria. En efecto, la obligación del deudor no puede exceder el crédito actualizado con un interés que trascienda los límites de la moral y las buenas costumbres (Fallos: 318:1345, 320:158 y 327:1881; 330:5306) (conf. SCBA LP C 102009 S 18/06/2014 Juez SORIA (MA) I JUBA B33376) (cfr.</w:t>
      </w:r>
    </w:p>
    <w:p>
      <w:pPr>
        <w:pStyle w:val="[Normal]"/>
        <w:spacing w:line="360" w:lineRule="auto"/>
        <w:ind w:firstLine="1134"/>
        <w:jc w:val="both"/>
        <w:rPr>
          <w:lang w:val="es-AR" w:eastAsia="es-AR" w:bidi="es-AR"/>
        </w:rPr>
      </w:pPr>
      <w:r>
        <w:rPr>
          <w:lang w:val="es-AR" w:eastAsia="es-AR" w:bidi="es-AR"/>
        </w:rPr>
        <w:t xml:space="preserve">Por su parte, cita jurisprudencia de la Suprema Corte de Justicia de la Nación en la que se ha</w:t>
      </w:r>
      <w:r>
        <w:rPr>
          <w:b/>
          <w:lang w:val="es-AR" w:eastAsia="es-AR" w:bidi="es-AR"/>
        </w:rPr>
        <w:t xml:space="preserve"> </w:t>
      </w:r>
      <w:r>
        <w:rPr>
          <w:rStyle w:val="EM"/>
          <w:i w:val="off"/>
          <w:lang w:val="es-AR" w:eastAsia="es-AR" w:bidi="es-AR"/>
        </w:rPr>
        <w:t xml:space="preserve">descalificado</w:t>
      </w:r>
      <w:r>
        <w:rPr>
          <w:lang w:val="es-AR" w:eastAsia="es-AR" w:bidi="es-AR"/>
        </w:rPr>
        <w:t xml:space="preserve"> por </w:t>
      </w:r>
      <w:r>
        <w:rPr>
          <w:rStyle w:val="EM"/>
          <w:i w:val="off"/>
          <w:lang w:val="es-AR" w:eastAsia="es-AR" w:bidi="es-AR"/>
        </w:rPr>
        <w:t xml:space="preserve">arbitrariedad</w:t>
      </w:r>
      <w:r>
        <w:rPr>
          <w:lang w:val="es-AR" w:eastAsia="es-AR" w:bidi="es-AR"/>
        </w:rPr>
        <w:t xml:space="preserve">  la  decisión del  Tribunal  de  la  Instancia,  que  dispuso  la  reducción  de oficio de la tasa de  interés  convenida,  sin  aludir  a  los  hechos  de  la  causa  ni  a  razones de orden  jurídico  que  justificaran  la  solución  propuesta</w:t>
      </w:r>
      <w:r>
        <w:rPr>
          <w:b/>
          <w:lang w:val="es-AR" w:eastAsia="es-AR" w:bidi="es-AR"/>
        </w:rPr>
        <w:t xml:space="preserve"> </w:t>
      </w:r>
      <w:r>
        <w:rPr>
          <w:lang w:val="es-AR" w:eastAsia="es-AR" w:bidi="es-AR"/>
        </w:rPr>
        <w:t xml:space="preserve">(CSJN, 20.11.86, “</w:t>
      </w:r>
      <w:r>
        <w:rPr>
          <w:rStyle w:val="EM"/>
          <w:lang w:val="es-AR" w:eastAsia="es-AR" w:bidi="es-AR"/>
        </w:rPr>
        <w:t xml:space="preserve">Paoletti c/Alfredo P. Lamas</w:t>
      </w:r>
      <w:r>
        <w:rPr>
          <w:lang w:val="es-AR" w:eastAsia="es-AR" w:bidi="es-AR"/>
        </w:rPr>
        <w:t xml:space="preserve"> y  </w:t>
      </w:r>
      <w:r>
        <w:rPr>
          <w:rStyle w:val="EM"/>
          <w:lang w:val="es-AR" w:eastAsia="es-AR" w:bidi="es-AR"/>
        </w:rPr>
        <w:t xml:space="preserve">otro</w:t>
      </w:r>
      <w:r>
        <w:rPr>
          <w:lang w:val="es-AR" w:eastAsia="es-AR" w:bidi="es-AR"/>
        </w:rPr>
        <w:t xml:space="preserve">” Fallos:  308: 2213 y 2214;  y   05.08.2003, in re “</w:t>
      </w:r>
      <w:r>
        <w:rPr>
          <w:rStyle w:val="EM"/>
          <w:lang w:val="es-AR" w:eastAsia="es-AR" w:bidi="es-AR"/>
        </w:rPr>
        <w:t xml:space="preserve">Banco  de  la  Provincia  de  Buenos  Aires c/ López, Ernesto F</w:t>
      </w:r>
      <w:r>
        <w:rPr>
          <w:lang w:val="es-AR" w:eastAsia="es-AR" w:bidi="es-AR"/>
        </w:rPr>
        <w:t xml:space="preserve">“, Fallos: 326: 2533).-</w:t>
      </w:r>
    </w:p>
    <w:p>
      <w:pPr>
        <w:pStyle w:val="[Normal]"/>
        <w:spacing w:line="360" w:lineRule="auto"/>
        <w:ind w:firstLine="1134"/>
        <w:jc w:val="both"/>
        <w:rPr>
          <w:b/>
          <w:lang w:val="es-AR" w:eastAsia="es-AR" w:bidi="es-AR"/>
        </w:rPr>
      </w:pPr>
      <w:r>
        <w:rPr>
          <w:lang w:val="es-AR" w:eastAsia="es-AR" w:bidi="es-AR"/>
        </w:rPr>
        <w:t xml:space="preserve">Ya en tarea, he de señalar que si bien es cierto que el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considero que corresponde posponer el análisis de las cláusulas de intereses para el momento de la liquidación desde que en esa ocasión se va a poder determinar con exactitud y precisión la suma total que corresponde a intereses, ya sean compensatorios, punitorios y desde la fecha de la mora.- </w:t>
      </w:r>
    </w:p>
    <w:p>
      <w:pPr>
        <w:pStyle w:val="[Normal]"/>
        <w:spacing w:line="360" w:lineRule="auto"/>
        <w:ind w:firstLine="1134"/>
        <w:jc w:val="both"/>
        <w:rPr>
          <w:b/>
          <w:lang w:val="es-AR" w:eastAsia="es-AR" w:bidi="es-AR"/>
        </w:rPr>
      </w:pPr>
      <w:r>
        <w:rPr>
          <w:lang w:val="es-AR" w:eastAsia="es-AR" w:bidi="es-AR"/>
        </w:rPr>
        <w:t xml:space="preserve">Ello no importa vulnerar la cualidad de cosa juzgada de la sentencia judicial, habida cuenta de que la revisión ulterior del monto de los intereses bien puede estar prevista en la propia resolución de condena. 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w:t>
      </w:r>
      <w:r>
        <w:rPr>
          <w:b/>
          <w:lang w:val="es-AR" w:eastAsia="es-AR" w:bidi="es-AR"/>
        </w:rPr>
        <w:t xml:space="preserve"> </w:t>
      </w:r>
    </w:p>
    <w:p>
      <w:pPr>
        <w:pStyle w:val="[Normal]"/>
        <w:spacing w:line="360" w:lineRule="auto"/>
        <w:ind w:firstLine="1134"/>
        <w:jc w:val="both"/>
        <w:rPr>
          <w:b/>
          <w:lang w:val="es-AR" w:eastAsia="es-AR" w:bidi="es-AR"/>
        </w:rPr>
      </w:pPr>
      <w:r>
        <w:rPr>
          <w:lang w:val="es-AR" w:eastAsia="es-AR" w:bidi="es-AR"/>
        </w:rPr>
        <w:t xml:space="preserve">Cabe señalar también que el carácter completo de la sentencia de condena no implica necesariamente que ésta habrá de precisar la suma nominal debida en forma definitiva sino tan sólo que debe prever las bases jurídicas para determinar lo realmente adeudado. Por lo que, como dije, nada empece a que la resolución aludida difiera el control de abusividad de los intereses para el momento de la liquidación (oportunidad en la que el juez podrá determinar los intereses devengados con anterioridad y posterioridad a la sentencia judicial, descontar los pagos parciales realizados conforme a las reglas legales de imputación y, en definitiva, formarse una representación clara del monto final adeudado).-</w:t>
      </w:r>
    </w:p>
    <w:p>
      <w:pPr>
        <w:pStyle w:val="[Normal]"/>
        <w:spacing w:line="360" w:lineRule="auto"/>
        <w:ind w:firstLine="1134"/>
        <w:jc w:val="both"/>
        <w:rPr>
          <w:b/>
          <w:lang w:val="es-AR" w:eastAsia="es-AR" w:bidi="es-AR"/>
        </w:rPr>
      </w:pPr>
      <w:r>
        <w:rPr>
          <w:lang w:val="es-AR" w:eastAsia="es-AR" w:bidi="es-AR"/>
        </w:rPr>
        <w:t xml:space="preserve">De manera que existen razones lógicas y prácticas que justifican el diferimiento de dicho análisis para la oportunidad de referencia. Y a los fines de asegurar la inmutabilidad de la cosa juzgada (que en esta materia, cabe agregar, es relativa y no absoluta por tratarse de una cosa juzgada de tipo formal), lo esencial es que las operaciones determinativas posteriores al dictado de la sentencia no aparezcan como maniobras ajenas al decisorio, sino como la plasmación efectiva de criterios determinativos allí contemplados (art. 165 y 549 del CPCCBA), aún cuando tal aplicación sea diferida y no obstante que su realización implique algún grado de valoración jurídica y no meramente matemática.-</w:t>
      </w:r>
    </w:p>
    <w:p>
      <w:pPr>
        <w:pStyle w:val="[Normal]"/>
        <w:spacing w:line="360" w:lineRule="auto"/>
        <w:ind w:firstLine="1134"/>
        <w:jc w:val="both"/>
        <w:rPr>
          <w:lang w:val="es-AR" w:eastAsia="es-AR" w:bidi="es-AR"/>
        </w:rPr>
      </w:pPr>
      <w:r>
        <w:rPr>
          <w:lang w:val="es-AR" w:eastAsia="es-AR" w:bidi="es-AR"/>
        </w:rPr>
        <w:t xml:space="preserve">En función de lo expuesto, estimo que corresponde modificar en este punto el pronunciamiento de grado por lo que al monto de capital dado en préstamo se le adicionaran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Tal ha sido el criterio adoptado recientemente por este Tribunal en la causa "C.F.N. S.A. c/ Lucci, Norma Beatriz s/ cobro ejecutivo" (RSD 149/20, del 20/10/20).-</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su mérito modificar el punto del fallo relativo a los intereses, estableciéndose desde aquí que al capital de condena deberán adicionarse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lang w:val="es-AR" w:eastAsia="es-AR" w:bidi="es-AR"/>
        </w:rPr>
        <w:t xml:space="preserve">ASI LO VOTO.-</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lang w:val="es-AR" w:eastAsia="es-AR" w:bidi="es-AR"/>
        </w:rPr>
      </w:pPr>
      <w:r>
        <w:rPr>
          <w:b/>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su mérito modificar el punto del fallo relativo a los intereses, estableciéndose desde aquí que al capital de condena deberán adicionarse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ind w:firstLine="1134"/>
        <w:jc w:val="both"/>
        <w:rPr>
          <w:color w:val="000000"/>
          <w:lang w:val="es-AR" w:eastAsia="es-AR" w:bidi="es-AR"/>
        </w:rPr>
      </w:pPr>
      <w:r>
        <w:rPr>
          <w:noProof/>
          <w:color w:val="000000"/>
          <w:lang w:val="es-AR" w:eastAsia="es-AR" w:bidi="es-AR"/>
        </w:rPr>
        <w:t xml:space="preserve">20286683372@NOTIFICACIONES.SCBA.GOV.AR</w:t>
      </w: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09:36:52 -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09:54:19 -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10:06:45 -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10:19:51 -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‰7g")è%%dSIŠ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237102090005056851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4124 - 20 - CREDINEGOCIOS MOSCASIL S.A.  C/ GAVAISE BESCOCHEA ESTEFANIA VICTORIA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‰7g")è%%dSIŠ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237102090005056851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STRONG">
    <w:name w:val="STRONG"/>
    <w:qFormat/>
    <w:rPr>
      <w:b/>
      <w:bCs/>
      <w:rtl w:val="off"/>
      <w:lang w:val="x-none" w:eastAsia="x-none" w:bidi="x-none"/>
    </w:rPr>
  </w:style>
  <w:style w:type="character" w:styleId="U">
    <w:name w:val="U"/>
    <w:qFormat/>
    <w:rPr>
      <w:u w:val="single"/>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