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18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101/104</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11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4130-20</w:t>
      </w:r>
      <w:r>
        <w:rPr>
          <w:lang w:val="es-AR" w:eastAsia="es-AR" w:bidi="es-AR"/>
        </w:rPr>
        <w:t xml:space="preserve"> caratulada </w:t>
      </w:r>
      <w:r>
        <w:rPr>
          <w:b/>
          <w:lang w:val="es-AR" w:eastAsia="es-AR" w:bidi="es-AR"/>
        </w:rPr>
        <w:t xml:space="preserve">"</w:t>
      </w:r>
      <w:r>
        <w:rPr>
          <w:b/>
          <w:color w:val="000000"/>
          <w:lang w:val="es-AR" w:eastAsia="es-AR" w:bidi="es-AR"/>
        </w:rPr>
        <w:t xml:space="preserve">PARDO S.A.  C/ GOMEZ MARCELO NICOLAS S/ COBRO EJECUTIVO</w:t>
      </w:r>
      <w:r>
        <w:rPr>
          <w:b/>
          <w:lang w:val="es-AR" w:eastAsia="es-AR" w:bidi="es-AR"/>
        </w:rPr>
        <w:t xml:space="preserve">"</w:t>
      </w:r>
      <w:r>
        <w:rPr>
          <w:lang w:val="es-AR" w:eastAsia="es-AR" w:bidi="es-AR"/>
        </w:rPr>
        <w:t xml:space="preserve">, Expte. N° 84459 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Dres. Roberto Manuel Degleue, Graciela Scaraffía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Que, llegan los autos a esta Alzada por conducto del recurso de apelación interpuesto por la parte actora contra la sentencia de trance y remate de fecha 10/11/2020, que dispuso -en lo que atañe a la materia objeto del recurso- mandar llevar a cabo la ejecución, hasta tanto el deudor Marcelo Nicolás Gómez haga al acreedor </w:t>
      </w:r>
      <w:r>
        <w:rPr>
          <w:color w:val="000000"/>
          <w:lang w:val="es-AR" w:eastAsia="es-AR" w:bidi="es-AR"/>
        </w:rPr>
        <w:t xml:space="preserve">PARDO S.A.</w:t>
      </w:r>
      <w:r>
        <w:rPr>
          <w:lang w:val="es-AR" w:eastAsia="es-AR" w:bidi="es-AR"/>
        </w:rPr>
        <w:t xml:space="preserve">, íntegro pago del capital adeudado, por el monto puro (monto de la operación sin intereses), que corresponde a la suma de </w:t>
      </w:r>
      <w:r>
        <w:rPr>
          <w:color w:val="000000"/>
          <w:lang w:val="es-AR" w:eastAsia="es-AR" w:bidi="es-AR"/>
        </w:rPr>
        <w:t xml:space="preserve">Pesos CATORCE MIL NOVENTA Y SIETE CON 0/100 ($14.097,00)</w:t>
      </w:r>
      <w:r>
        <w:rPr>
          <w:lang w:val="es-AR" w:eastAsia="es-AR" w:bidi="es-AR"/>
        </w:rPr>
        <w:t xml:space="preserve"> ( conforme art.36 ley 24.240),  con más el interés a la tasa pasiva anual promedio del mercado difundida por el Banco Central de la República Argentina vigente a la fecha de celebración del contrato, desde la fecha de mora declarada (08/10/2018), con más las costas de la ejecución.</w:t>
      </w:r>
    </w:p>
    <w:p>
      <w:pPr>
        <w:pStyle w:val="[Normal]"/>
        <w:spacing w:line="360" w:lineRule="auto"/>
        <w:ind w:firstLine="1134"/>
        <w:jc w:val="both"/>
        <w:rPr>
          <w:lang w:val="es-AR" w:eastAsia="es-AR" w:bidi="es-AR"/>
        </w:rPr>
      </w:pPr>
      <w:r>
        <w:rPr>
          <w:lang w:val="es-AR" w:eastAsia="es-AR" w:bidi="es-AR"/>
        </w:rPr>
        <w:t xml:space="preserve">Contra dicho resolutorio, se alza la parte actora por medio de presentación electrónica de fecha 17/11/2020 a través de la cual deduce recurso de apelación, el que resulta posteriormente fundado mediante escrito digital de fecha 18/11/2020.</w:t>
      </w:r>
    </w:p>
    <w:p>
      <w:pPr>
        <w:pStyle w:val="[Normal]"/>
        <w:spacing w:line="360" w:lineRule="auto"/>
        <w:ind w:firstLine="1134"/>
        <w:jc w:val="both"/>
        <w:rPr>
          <w:lang w:val="es-AR" w:eastAsia="es-AR" w:bidi="es-AR"/>
        </w:rPr>
      </w:pPr>
      <w:r>
        <w:rPr>
          <w:lang w:val="es-AR" w:eastAsia="es-AR" w:bidi="es-AR"/>
        </w:rPr>
        <w:t xml:space="preserve">En relación al fundamento nuclear del agravio constitutivo del recurso interpuesto, la parte actora se queja de que el Juez de grado </w:t>
      </w:r>
      <w:r>
        <w:rPr>
          <w:lang w:val="es-AR" w:eastAsia="es-AR" w:bidi="es-AR"/>
        </w:rPr>
        <w:t xml:space="preserve">fijó la tasa de interés conforme tasa pasiva anual promedio del mercado difundida por el Banco Central de la República Argentina vigente a la fecha de celebración del contrato conforme Art. 36 LDC.	</w:t>
        <w:br w:type="textWrapping"/>
      </w:r>
      <w:r>
        <w:rPr>
          <w:lang w:val="es-AR" w:eastAsia="es-AR" w:bidi="es-AR"/>
        </w:rPr>
        <w:t xml:space="preserve"> 	Si bien la apelante no cuestiona la facultad revisora de la judicatura para modificar el monto de los intereses pactados, sí se queja sobre la oportunidad procesal en que dicha prerrogativa ha sido ejercida por parte del magistrado. 	</w:t>
      </w:r>
    </w:p>
    <w:p>
      <w:pPr>
        <w:pStyle w:val="[Normal]"/>
        <w:spacing w:line="360" w:lineRule="auto"/>
        <w:ind w:firstLine="1134"/>
        <w:jc w:val="both"/>
        <w:rPr>
          <w:lang w:val="es-AR" w:eastAsia="es-AR" w:bidi="es-AR"/>
        </w:rPr>
      </w:pPr>
      <w:r>
        <w:rPr>
          <w:lang w:val="es-AR" w:eastAsia="es-AR" w:bidi="es-AR"/>
        </w:rPr>
        <w:t xml:space="preserve">En respaldo de la crítica formulada, apunta que la jurisprudencia ha sostenido y en un todo de acuerdo con la normativa de fondo la facultad del juez de morigerar los intereses; pero siempre haciéndolo en el momento procesal oportuno, es decir, en el proceso de liquidación. Y dicha circunstancia aun no sucede en autos.</w:t>
      </w:r>
    </w:p>
    <w:p>
      <w:pPr>
        <w:pStyle w:val="[Normal]"/>
        <w:spacing w:line="360" w:lineRule="auto"/>
        <w:ind w:firstLine="1134"/>
        <w:jc w:val="both"/>
        <w:rPr>
          <w:lang w:val="es-AR" w:eastAsia="es-AR" w:bidi="es-AR"/>
        </w:rPr>
      </w:pPr>
      <w:r>
        <w:rPr>
          <w:lang w:val="es-AR" w:eastAsia="es-AR" w:bidi="es-AR"/>
        </w:rPr>
        <w:t xml:space="preserve">A los fines de justificar la razonabilidad de la tasa pactada, refiere asimismo que hay que tener en cuenta que </w:t>
      </w:r>
      <w:r>
        <w:rPr>
          <w:lang w:val="es-AR" w:eastAsia="es-AR" w:bidi="es-AR"/>
        </w:rPr>
        <w:t xml:space="preserve">su mandante al momento de otorgarle un crédito a cualquier persona que se acerque a su negocio, está contemplando una pérdida de la apreciación monetaria por cuánto en nuestro país la economía es demasiado fluctuante como para no tener en consideración dicha situación al momento de otorgar un crédito.</w:t>
      </w:r>
    </w:p>
    <w:p>
      <w:pPr>
        <w:pStyle w:val="[Normal]"/>
        <w:spacing w:line="360" w:lineRule="auto"/>
        <w:ind w:firstLine="1134"/>
        <w:jc w:val="both"/>
        <w:rPr>
          <w:lang w:val="es-AR" w:eastAsia="es-AR" w:bidi="es-AR"/>
        </w:rPr>
      </w:pPr>
      <w:r>
        <w:rPr>
          <w:lang w:val="es-AR" w:eastAsia="es-AR" w:bidi="es-AR"/>
        </w:rPr>
        <w:t xml:space="preserve">Entrando a resolver, me abocaré en primer término a la cuestión relativa a la oportunidad procesal para el ejercicio de la facultad judicial revisora de los intereses pactados.</w:t>
      </w:r>
    </w:p>
    <w:p>
      <w:pPr>
        <w:pStyle w:val="[Normal]"/>
        <w:spacing w:line="360" w:lineRule="auto"/>
        <w:ind w:firstLine="1134"/>
        <w:jc w:val="both"/>
        <w:rPr>
          <w:lang w:val="es-AR" w:eastAsia="es-AR" w:bidi="es-AR"/>
        </w:rPr>
      </w:pPr>
      <w:r>
        <w:rPr>
          <w:lang w:val="es-AR" w:eastAsia="es-AR" w:bidi="es-AR"/>
        </w:rPr>
        <w:t xml:space="preserve">Al respecto, debo anticipar que sobre esta temática ya me he pronunciado en la causa N° 3885 caratulada "</w:t>
      </w:r>
      <w:r>
        <w:rPr>
          <w:color w:val="000000"/>
          <w:lang w:val="es-AR" w:eastAsia="es-AR" w:bidi="es-AR"/>
        </w:rPr>
        <w:t xml:space="preserve">CREDINEGOCIOS MOSCASIL S.A. C/ MENDEZ ARIEL ESTEBAN Y OTRO/A S/ COBRO EJECUTIVO</w:t>
      </w:r>
      <w:r>
        <w:rPr>
          <w:lang w:val="es-AR" w:eastAsia="es-AR" w:bidi="es-AR"/>
        </w:rPr>
        <w:t xml:space="preserve">"   de fecha 3 de Septiembre de 2020.	</w:t>
        <w:br w:type="textWrapping"/>
      </w:r>
      <w:r>
        <w:rPr>
          <w:lang w:val="es-AR" w:eastAsia="es-AR" w:bidi="es-AR"/>
        </w:rPr>
        <w:t xml:space="preserve"> 	En aquella oportunidad, me expedí ante una situación de características análogas a la presente y confirmé la resolución de grado que mandó a pagar capital más intereses pactados en el contrato de mutuo con deducción de los importes ya abonados, todo ello sin perjuicio de diferir la evaluación de si los mismos resultaban excesivos y contrarios a la moral y buenas costumbres al momento procesal de examinar la liquidación, teniendo en cuenta lo que disponen los arts. 10, 279, 771, 794 y ccs. del Código Civil y Comercial.</w:t>
      </w:r>
    </w:p>
    <w:p>
      <w:pPr>
        <w:pStyle w:val="[Normal]"/>
        <w:spacing w:line="360" w:lineRule="auto"/>
        <w:ind w:firstLine="1134"/>
        <w:jc w:val="both"/>
        <w:rPr>
          <w:lang w:val="es-AR" w:eastAsia="es-AR" w:bidi="es-AR"/>
        </w:rPr>
      </w:pPr>
      <w:r>
        <w:rPr>
          <w:lang w:val="es-AR" w:eastAsia="es-AR" w:bidi="es-AR"/>
        </w:rPr>
        <w:t xml:space="preserve"> De modo que la similitud formal y sustancial del precedente aludido con la presente causa resulta comprobable en el sentido de que en ambos supuestos se trató de una pretensión ejecutiva integrada por un crédito documentado en un contrato de mutuo y simultáneamente instrumentado en un pagaré y el objeto del reclamo judicial se proyectó sobre el capital más los intereses. Y si bien en el expediente referido, la resolución apelada difirió el control de abusividad de los intereses para el momento de la liquidación, en tanto que aquí se efectuó dicho control en la sentencia de trance y remate, resulta evidente que en ambos causas lo que se discute gira en torno a la determinación de la oportunidad procesal para el ejercicio válido de la referida potestad. </w:t>
      </w:r>
    </w:p>
    <w:p>
      <w:pPr>
        <w:pStyle w:val="[Normal]"/>
        <w:spacing w:line="360" w:lineRule="auto"/>
        <w:ind w:firstLine="1134"/>
        <w:jc w:val="both"/>
        <w:rPr>
          <w:lang w:val="es-AR" w:eastAsia="es-AR" w:bidi="es-AR"/>
        </w:rPr>
      </w:pPr>
      <w:r>
        <w:rPr>
          <w:lang w:val="es-AR" w:eastAsia="es-AR" w:bidi="es-AR"/>
        </w:rPr>
        <w:t xml:space="preserve"> En este sentido, cabe aseverar que el respeto al propio precedente es la traducción jurídica del requisito de la universalidad que debe presidir a la argumentación jurídica. Constituye, en tal aspecto, una regla de racionalidad que garantiza la actuación no arbitraria de los órganos jurisdiccionales y que, en consecuencia, deja intacto el sistema de fuentes de nuestro Derecho articulado en tomo al principio de legalidad. Al decir de Abellán Gascón, "el respeto al precedente supone, pues, un género de motivación especial cuyo sentido podría formularse como sigue: hay que interpretar el Derecho conforme a criterios que, por considerarlos correctos, se estuviera dispuesto a utilizar en la resolución de todos los casos iguales que puedan presentarse en el futuro" (Cf. ABELLÁN GASCÓN, Marina, Igualdad y respeto al precedente, Universidad de Castilla La Mancha, pag. 233). </w:t>
      </w:r>
    </w:p>
    <w:p>
      <w:pPr>
        <w:pStyle w:val="[Normal]"/>
        <w:spacing w:line="360" w:lineRule="auto"/>
        <w:ind w:firstLine="1134"/>
        <w:jc w:val="both"/>
        <w:rPr>
          <w:lang w:val="es-AR" w:eastAsia="es-AR" w:bidi="es-AR"/>
        </w:rPr>
      </w:pPr>
      <w:r>
        <w:rPr>
          <w:lang w:val="es-AR" w:eastAsia="es-AR" w:bidi="es-AR"/>
        </w:rPr>
        <w:t xml:space="preserve">Empero, la regla precitada no significa que los órganos judiciales no puedan modificar sus propios precedentes, sino que en tal caso deberán hacerlo en términos que permitan apreciar que el nuevo criterio interpretativo ha sido adoptado como solución genérica dotada de vocación para ser aplicada en casos futuros o como solución justificada en las características diferenciales que presente el caso nuevo respecto a los casos en base a los cuales se consolidó el precedente. De manera que lo que prohíbe el principio de igualdad en la aplicación de la Ley es el cambio irreflexivo o arbitrario, y no el cambio legítimo y razonable, es decir, basado en razones jurídicas objetivas que excluyan todo significado de resolución ad personam.</w:t>
      </w:r>
    </w:p>
    <w:p>
      <w:pPr>
        <w:pStyle w:val="[Normal]"/>
        <w:spacing w:line="360" w:lineRule="auto"/>
        <w:ind w:firstLine="1134"/>
        <w:jc w:val="both"/>
        <w:rPr>
          <w:i/>
          <w:lang w:val="es-AR" w:eastAsia="es-AR" w:bidi="es-AR"/>
        </w:rPr>
      </w:pPr>
      <w:r>
        <w:rPr>
          <w:lang w:val="es-AR" w:eastAsia="es-AR" w:bidi="es-AR"/>
        </w:rPr>
        <w:t xml:space="preserve">Dicho esto, y basándome en una interpretación literal y teleológica del resolutorio citado, advierto que el alcance de la decisión adoptada en la causa nombrada se limitó a disponer que  la inclusión de los intereses en la sentencia de trance y remate no impide a la postre su tratamiento en el momento de la liquidación, no habiendo en ello vulneración alguna de la cualidad de cosa juzgada de la sentencia judicial. Es decir, que </w:t>
      </w:r>
      <w:r>
        <w:rPr>
          <w:i/>
          <w:lang w:val="es-AR" w:eastAsia="es-AR" w:bidi="es-AR"/>
        </w:rPr>
        <w:t xml:space="preserve">"no media en estos supuestos una afectación del derecho constitucional de propiedad, sino más bien una modalización temporal de la sentencia judicial que contempla en su propio espectro virtual la posibilidad de controlar la abusividad de los intereses en la etapa de liquidación que es, en definitiva, el momento procesal en el que se puede establecer con precisión la cuantía exacta de los intereses devengados".</w:t>
      </w:r>
    </w:p>
    <w:p>
      <w:pPr>
        <w:pStyle w:val="[Normal]"/>
        <w:spacing w:line="360" w:lineRule="auto"/>
        <w:ind w:firstLine="1134"/>
        <w:jc w:val="both"/>
        <w:rPr>
          <w:lang w:val="es-AR" w:eastAsia="es-AR" w:bidi="es-AR"/>
        </w:rPr>
      </w:pPr>
      <w:r>
        <w:rPr>
          <w:lang w:val="es-AR" w:eastAsia="es-AR" w:bidi="es-AR"/>
        </w:rPr>
        <w:t xml:space="preserve">Ahora bien, que en el precedente aludido este Tribunal haya resuelto que los intereses que forman parte de la condena judicial pueden ser revisados válidamente en la etapa de la liquidación (e incluso haya reputado esta forma como una modalidad ventajosa y preferible) no implica de suyo que los jueces no puedan ejercer este control en una oportunidad diferente o, lo que es lo mismo, que la etapa de liquidación sea el momento exclusivo y excluyente para la revisión de los intereses aplicables al título ejecutivo. 	</w:t>
        <w:br w:type="textWrapping"/>
      </w:r>
      <w:r>
        <w:rPr>
          <w:lang w:val="es-AR" w:eastAsia="es-AR" w:bidi="es-AR"/>
        </w:rPr>
        <w:t xml:space="preserve"> 	En sustento de lo expuesto, el art. 771 del CCyC al referirse a las facultades judiciales para reducir los intereses en caso de desproporción injustificada no establece una oportunidad procesal específica ni única. De la jurisprudencia transcripta por el apelante tampoco surge que la etapa de la liquidación sea la única oportunidad para efectuar el control de abusividad de los intereses pactados. Y no se expone en el escrito de apelación  argumento jurídico alguno que permita sostener que el único momento procesal para revisar los intereses sea el correspondiente a la etapa de liquidación. En virtud de ello, corresponde desestimar el agravio formulado.</w:t>
      </w:r>
    </w:p>
    <w:p>
      <w:pPr>
        <w:pStyle w:val="[Normal]"/>
        <w:spacing w:line="360" w:lineRule="auto"/>
        <w:ind w:firstLine="1134"/>
        <w:jc w:val="both"/>
        <w:rPr>
          <w:lang w:val="es-AR" w:eastAsia="es-AR" w:bidi="es-AR"/>
        </w:rPr>
      </w:pPr>
      <w:r>
        <w:rPr>
          <w:lang w:val="es-AR" w:eastAsia="es-AR" w:bidi="es-AR"/>
        </w:rPr>
        <w:t xml:space="preserve">En relación al segundo punto de crítica según el cual la tasa pactada no resulta irrazonable, estimo que el argumento expuesto debe ser atendido.</w:t>
      </w:r>
    </w:p>
    <w:p>
      <w:pPr>
        <w:pStyle w:val="[Normal]"/>
        <w:spacing w:line="360" w:lineRule="auto"/>
        <w:ind w:firstLine="1134"/>
        <w:jc w:val="both"/>
        <w:rPr>
          <w:lang w:val="es-AR" w:eastAsia="es-AR" w:bidi="es-AR"/>
        </w:rPr>
      </w:pPr>
      <w:r>
        <w:rPr>
          <w:lang w:val="es-AR" w:eastAsia="es-AR" w:bidi="es-AR"/>
        </w:rPr>
        <w:t xml:space="preserve">Advierto en tal sentido que no ha mediado por parte de la Juzgadora una descalificación de los intereses pactados motivada en una debida fundamentación sino una tacha genérica que no se encuentra precedida del ineludible desarrollo que la sustente, omitiendo brindar toda precisión sobre las tasas en cuestión y su comparación con otros parámetros, de modo de verificar y justificar un carácter abusivo palmario. En virtud de ello, considero que la sustitución de la tasa pactada por la tasa pasiva bancaria carece de motivación suficiente en el caso concreto.</w:t>
      </w:r>
    </w:p>
    <w:p>
      <w:pPr>
        <w:pStyle w:val="[Normal]"/>
        <w:spacing w:line="360" w:lineRule="auto"/>
        <w:ind w:firstLine="1134"/>
        <w:jc w:val="both"/>
        <w:rPr>
          <w:lang w:val="es-AR" w:eastAsia="es-AR" w:bidi="es-AR"/>
        </w:rPr>
      </w:pPr>
      <w:r>
        <w:rPr>
          <w:lang w:val="es-AR" w:eastAsia="es-AR" w:bidi="es-AR"/>
        </w:rPr>
        <w:t xml:space="preserve">Dicho de otro modo, si los intereses convenidos expresamente por las partes no pueden al presente conceptuarse como excesivos ni por tanto abusivos o contrarios a los principios morales ínsitos en nuestra legislación, una decisión diversa importa infringir, sin justificación suficiente, lo libremente pactado por las partes -efecto vinculante de los contratos y reglas de la autonomía de la voluntad (arts. 959 y 2651 del C.C.C.)- y su interpretación atendiendo a la intención de las partes y la buena fe (art. 1061 C.C.C.).</w:t>
      </w:r>
    </w:p>
    <w:p>
      <w:pPr>
        <w:pStyle w:val="[Normal]"/>
        <w:spacing w:line="360" w:lineRule="auto"/>
        <w:ind w:firstLine="1134"/>
        <w:jc w:val="both"/>
        <w:rPr>
          <w:lang w:val="es-AR" w:eastAsia="es-AR" w:bidi="es-AR"/>
        </w:rPr>
      </w:pPr>
      <w:r>
        <w:rPr>
          <w:lang w:val="es-AR" w:eastAsia="es-AR" w:bidi="es-AR"/>
        </w:rPr>
        <w:br w:type="textWrapping"/>
      </w:r>
      <w:r>
        <w:rPr>
          <w:lang w:val="es-AR" w:eastAsia="es-AR" w:bidi="es-AR"/>
        </w:rPr>
        <w:t xml:space="preserve"> 	Es así que la ejecución debe mandarse llevar adelante por el capital con más los intereses moratorios pactados respecto de cada uno de ellos y que podrán ser nuevamente objeto de control de abusividad en la etapa de liquidación.</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Por las razones dadas, citas legales y jurisprudenciales,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Sra. Jueza </w:t>
      </w:r>
      <w:r>
        <w:rPr>
          <w:color w:val="000000"/>
          <w:lang w:val="es-AR" w:eastAsia="es-AR" w:bidi="es-AR"/>
        </w:rPr>
        <w:t xml:space="preserve">Graciela Scaraffía y el</w:t>
      </w:r>
      <w:r>
        <w:rPr>
          <w:lang w:val="es-AR" w:eastAsia="es-AR" w:bidi="es-AR"/>
        </w:rPr>
        <w:t xml:space="preserve"> Sr. Juez Bernardo Louise por análogos fundamentos votaron en igual sentido que el Sr. Juez Roberto Degleue.</w:t>
      </w:r>
    </w:p>
    <w:p>
      <w:pPr>
        <w:pStyle w:val="[Normal]"/>
        <w:spacing w:line="360" w:lineRule="auto"/>
        <w:ind w:firstLine="1134"/>
        <w:jc w:val="both"/>
        <w:rPr>
          <w:lang w:val="es-AR" w:eastAsia="es-AR" w:bidi="es-AR"/>
        </w:rPr>
      </w:pPr>
      <w:r>
        <w:rPr>
          <w:lang w:val="es-AR" w:eastAsia="es-AR" w:bidi="es-AR"/>
        </w:rPr>
        <w:t xml:space="preserve">A la segunda cuestión el Sr. Roberto Degleue dijo: 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Hacer lugar al recurso deducido y en su mérito revocar el auto apelado; en consecuencia disponer que se despache la ejecución en los términos aquí expuestos. Sin costas (art. 68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Scaraffia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deducido y en su mérito revocar el auto apelado; en consecuencia disponer que se despache la ejecución en los términos aquí expuestos. Sin costas (art. 68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resolución a los domicilios electrónicos de las respectivas partes que se detallan a continuación.- Devúelvase.-</w:t>
      </w:r>
    </w:p>
    <w:p>
      <w:pPr>
        <w:pStyle w:val="[Normal]"/>
        <w:spacing w:line="360" w:lineRule="auto"/>
        <w:ind w:firstLine="1134"/>
        <w:jc w:val="both"/>
        <w:rPr>
          <w:lang w:val="es-AR" w:eastAsia="es-AR" w:bidi="es-AR"/>
        </w:rPr>
      </w:pPr>
    </w:p>
    <w:p>
      <w:pPr>
        <w:pStyle w:val="[Normal]"/>
        <w:spacing w:line="360" w:lineRule="auto"/>
        <w:ind w:firstLine="1134"/>
        <w:rPr>
          <w:color w:val="000000"/>
          <w:lang w:val="es-AR" w:eastAsia="es-AR" w:bidi="es-AR"/>
        </w:rPr>
      </w:pPr>
      <w:r>
        <w:rPr>
          <w:noProof/>
          <w:color w:val="000000"/>
          <w:lang w:val="es-AR" w:eastAsia="es-AR" w:bidi="es-AR"/>
        </w:rPr>
        <w:t xml:space="preserve">20280602079@NOTIFICACIONES.SCBA.GOV.AR</w:t>
      </w: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09:09:28 -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09:30:44 -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09:42:27 -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10:20:18 -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20280602079@NOTIFICACIONES.SCBA.GOV.AR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‰8\")è%(/‚HŠ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246002090005081598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4130 - 20 - PARDO S.A.  C/ GOMEZ MARCELO NICOLAS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‰8\")è%(/‚HŠ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246002090005081598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EM">
    <w:name w:val="EM"/>
    <w:qFormat/>
    <w:rPr>
      <w:i/>
      <w:i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