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color w:val="000000"/>
          <w:lang w:val="es-AR" w:eastAsia="es-AR" w:bidi="es-AR"/>
        </w:rPr>
      </w:pPr>
      <w:r>
        <w:rPr>
          <w:b/>
          <w:lang w:val="es-AR" w:eastAsia="es-AR" w:bidi="es-AR"/>
        </w:rPr>
        <w:t xml:space="preserve">	Registro N° 14 /</w:t>
      </w:r>
      <w:r>
        <w:rPr>
          <w:b/>
          <w:color w:val="000000"/>
          <w:lang w:val="es-AR" w:eastAsia="es-AR" w:bidi="es-AR"/>
        </w:rPr>
        <w:t xml:space="preserve">2021</w:t>
      </w:r>
      <w:r>
        <w:rPr>
          <w:color w:val="000000"/>
          <w:lang w:val="es-AR" w:eastAsia="es-AR" w:bidi="es-AR"/>
        </w:rPr>
        <w:t xml:space="preserve"> </w:t>
      </w:r>
    </w:p>
    <w:p>
      <w:pPr>
        <w:pStyle w:val="[Normal]"/>
        <w:spacing w:line="360" w:lineRule="auto"/>
        <w:rPr>
          <w:lang w:val="es-AR" w:eastAsia="es-AR" w:bidi="es-AR"/>
        </w:rPr>
      </w:pP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Fojas 68/73</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9 de marzo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4141-20</w:t>
      </w:r>
      <w:r>
        <w:rPr>
          <w:lang w:val="es-AR" w:eastAsia="es-AR" w:bidi="es-AR"/>
        </w:rPr>
        <w:t xml:space="preserve"> caratulada </w:t>
      </w:r>
      <w:r>
        <w:rPr>
          <w:b/>
          <w:lang w:val="es-AR" w:eastAsia="es-AR" w:bidi="es-AR"/>
        </w:rPr>
        <w:t xml:space="preserve">"</w:t>
      </w:r>
      <w:r>
        <w:rPr>
          <w:b/>
          <w:color w:val="000000"/>
          <w:lang w:val="es-AR" w:eastAsia="es-AR" w:bidi="es-AR"/>
        </w:rPr>
        <w:t xml:space="preserve">BANCO CREDICOOP COOPERATIVO LTDO. C/ ROJAS PABLO LUIS Y OTROS S/ COBRO EJECUTIVO</w:t>
      </w:r>
      <w:r>
        <w:rPr>
          <w:b/>
          <w:lang w:val="es-AR" w:eastAsia="es-AR" w:bidi="es-AR"/>
        </w:rPr>
        <w:t xml:space="preserve">"</w:t>
      </w:r>
      <w:r>
        <w:rPr>
          <w:lang w:val="es-AR" w:eastAsia="es-AR" w:bidi="es-AR"/>
        </w:rPr>
        <w:t xml:space="preserve">, Expte. N° </w:t>
      </w:r>
      <w:r>
        <w:rPr>
          <w:color w:val="000000"/>
          <w:lang w:val="es-AR" w:eastAsia="es-AR" w:bidi="es-AR"/>
        </w:rPr>
        <w:t xml:space="preserve">74576</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1</w:t>
      </w:r>
      <w:r>
        <w:rPr>
          <w:lang w:val="es-AR" w:eastAsia="es-AR" w:bidi="es-AR"/>
        </w:rPr>
        <w:t xml:space="preserve"> se practicó el sorteo de ley que determinó que la votación debía efectuarse en el siguiente orden: </w:t>
      </w:r>
      <w:r>
        <w:rPr>
          <w:color w:val="000000"/>
          <w:lang w:val="es-AR" w:eastAsia="es-AR" w:bidi="es-AR"/>
        </w:rPr>
        <w:t xml:space="preserve">BERNARDO LOUISE, GRACIELA SCARAFFIA Y ROBERTO M.DEGLEUE</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BERNARDO LOUISE</w:t>
      </w:r>
      <w:r>
        <w:rPr>
          <w:lang w:val="es-AR" w:eastAsia="es-AR" w:bidi="es-AR"/>
        </w:rPr>
        <w:t xml:space="preserve"> dijo:</w:t>
      </w:r>
    </w:p>
    <w:p>
      <w:pPr>
        <w:pStyle w:val="[Normal]"/>
        <w:spacing w:line="360" w:lineRule="auto"/>
        <w:ind w:firstLine="1134"/>
        <w:jc w:val="both"/>
        <w:rPr>
          <w:lang w:val="es-AR" w:eastAsia="es-AR" w:bidi="es-AR"/>
        </w:rPr>
      </w:pPr>
      <w:r>
        <w:rPr>
          <w:lang w:val="es-AR" w:eastAsia="es-AR" w:bidi="es-AR"/>
        </w:rPr>
        <w:t xml:space="preserve">El Sr. juez de la instancia anterior dictó sentencia de trance y remate,  rechazó  la excepción de inhabilidad de título y mandó  llevar adelante la ejecución hasta tanto los ejecutados Sra. Victoria Brough, Sra. Maria Aurelia Miguens y Sr. Pablo Rojas  -únicamente hasta alcanzar el monto por el cual cada uno se ha obligado mediante contratos de fianza -$ 5.000.000, $ 15.000.000 y $ 5.000.000 respectivamente-, hagan al acreedor BANCO CREDICOOP COOPERATIVO LTDO. pago: a) del capital reclamado de CIENTO NOVENTA Y NUEVE MIL CIENTO TREINTA Dólares Estadounidenses (U$S 199.130), con más los intereses liquidados en la forma pactada, desde el  día de la mora: 20-09-2019, con la salvedad de que se evaluará si los mismos son excesivos y contrarios a la moral y buenas costumbres, en el momento procesal de examinar la  liquidación, teniendo en cuenta lo que disponen los Arts. 10, 279, 725, 794 y Ccs del C.C.C.N.; b) de la suma de UN MILLON VEINTE MIL TRESCIENTOS SETENTA Pesos con 90/100 ($ 1.020.370,90), con más los intereses que se calcularán a partir de la fecha de la mora: 30-09-2019, al tipo  que  pague  el banco de la Provincia de Buenos Aires en sus  depósitos  a  treinta días  vigentes  en  los  distintos  períodos  de  aplicación  -Cfr. S.C.B.A.,  Ac. 43.858 "Zgong, D.R. y Otro c/ Asoc. Atlet. Villa Gesell  s/Cob.  de Aust."; 21-05-91.- Todo con más las costas de la ejecución.  Aplicó  las costas a los demandados que resultaron vencidos (arts. 556 y 68 del C.P.C.) y difirió  la regulación de honorarios de los profesionales intervinientes, hasta tanto obre  en  autos  liquidación  firme (Art. 54 de la Ley 14.967).</w:t>
      </w:r>
    </w:p>
    <w:p>
      <w:pPr>
        <w:pStyle w:val="[Normal]"/>
        <w:spacing w:line="360" w:lineRule="auto"/>
        <w:ind w:firstLine="1134"/>
        <w:jc w:val="both"/>
        <w:rPr>
          <w:lang w:val="es-AR" w:eastAsia="es-AR" w:bidi="es-AR"/>
        </w:rPr>
      </w:pPr>
      <w:r>
        <w:rPr>
          <w:lang w:val="es-AR" w:eastAsia="es-AR" w:bidi="es-AR"/>
        </w:rPr>
        <w:t xml:space="preserve">El apoderado de la parte demandada, Dr. Martín L. Bettaglio  mediante presentación electrónica de fecha 04 / 11 / 2020  interpone  recurso de apelación contra la sentencia que se concede en relación y con efecto suspensivo. Llegados los autos a esta Instancia, acompaña el memorial en fecha 13 / 11 / 2020, el que es contestado por la parte contraria electrónicamente en 01 / 12 / 2020.</w:t>
      </w:r>
    </w:p>
    <w:p>
      <w:pPr>
        <w:pStyle w:val="[Normal]"/>
        <w:spacing w:line="360" w:lineRule="auto"/>
        <w:ind w:firstLine="1134"/>
        <w:jc w:val="both"/>
        <w:rPr>
          <w:lang w:val="es-AR" w:eastAsia="es-AR" w:bidi="es-AR"/>
        </w:rPr>
      </w:pPr>
      <w:r>
        <w:rPr>
          <w:lang w:val="es-AR" w:eastAsia="es-AR" w:bidi="es-AR"/>
        </w:rPr>
        <w:t xml:space="preserve">En fecha 4 de Febrero de 2021, se ordena pasar  los autos para resolver (art. 270 CPC), providencia que firme a la fecha deja a la causa en condiciones de ser fallada ( arts. 168 y 170 Const. Prov. Bs. As. ).</w:t>
      </w:r>
    </w:p>
    <w:p>
      <w:pPr>
        <w:pStyle w:val="[Normal]"/>
        <w:spacing w:line="360" w:lineRule="auto"/>
        <w:ind w:firstLine="1134"/>
        <w:jc w:val="both"/>
        <w:rPr>
          <w:b/>
          <w:lang w:val="es-AR" w:eastAsia="es-AR" w:bidi="es-AR"/>
        </w:rPr>
      </w:pPr>
      <w:r>
        <w:rPr>
          <w:b/>
          <w:lang w:val="es-AR" w:eastAsia="es-AR" w:bidi="es-AR"/>
        </w:rPr>
        <w:t xml:space="preserve">a ) Agravios de la Apelante:</w:t>
      </w:r>
    </w:p>
    <w:p>
      <w:pPr>
        <w:pStyle w:val="[Normal]"/>
        <w:spacing w:line="360" w:lineRule="auto"/>
        <w:ind w:firstLine="1134"/>
        <w:jc w:val="both"/>
        <w:rPr>
          <w:b/>
          <w:lang w:val="es-AR" w:eastAsia="es-AR" w:bidi="es-AR"/>
        </w:rPr>
      </w:pPr>
      <w:r>
        <w:rPr>
          <w:lang w:val="es-AR" w:eastAsia="es-AR" w:bidi="es-AR"/>
        </w:rPr>
        <w:t xml:space="preserve">La identidad de los términos de las memorias impone,  por razones de brevedad,  un tratamiento único.  </w:t>
      </w:r>
    </w:p>
    <w:p>
      <w:pPr>
        <w:pStyle w:val="[Normal]"/>
        <w:spacing w:line="360" w:lineRule="auto"/>
        <w:ind w:firstLine="1134"/>
        <w:jc w:val="both"/>
        <w:rPr>
          <w:lang w:val="es-AR" w:eastAsia="es-AR" w:bidi="es-AR"/>
        </w:rPr>
      </w:pPr>
      <w:r>
        <w:rPr>
          <w:lang w:val="es-AR" w:eastAsia="es-AR" w:bidi="es-AR"/>
        </w:rPr>
        <w:t xml:space="preserve">Se duele primeramente contra el fallo en tanto  rechaza la defensa de inhabilidad de título opuesta por su parte, cuando la  ejecutante si bien en la presentación de inicio refiere a la existencia de un pagaré, el mismo no ha sido acompañado ni subido al sistema y así la inexistencia de título es el fundamento de su defensa.</w:t>
      </w:r>
    </w:p>
    <w:p>
      <w:pPr>
        <w:pStyle w:val="[Normal]"/>
        <w:spacing w:line="360" w:lineRule="auto"/>
        <w:ind w:firstLine="1134"/>
        <w:jc w:val="both"/>
        <w:rPr>
          <w:lang w:val="es-AR" w:eastAsia="es-AR" w:bidi="es-AR"/>
        </w:rPr>
      </w:pPr>
      <w:r>
        <w:rPr>
          <w:lang w:val="es-AR" w:eastAsia="es-AR" w:bidi="es-AR"/>
        </w:rPr>
        <w:t xml:space="preserve">Continúa diciendo, que el juez a-quo, no tuvo en cuenta que el título que se pretende ejecutar a sus mandantes es una fianza, que no trae aparejada ejecución por si, siendo la accesoriedad de dicho contrato una de sus características, por el que resulta necesario acreditar la existencia de la deuda a la que accede la fianza, por lo que correspondía la declaración de inhabilidad de título.</w:t>
      </w:r>
    </w:p>
    <w:p>
      <w:pPr>
        <w:pStyle w:val="[Normal]"/>
        <w:spacing w:line="360" w:lineRule="auto"/>
        <w:ind w:firstLine="1134"/>
        <w:jc w:val="both"/>
        <w:rPr>
          <w:lang w:val="es-AR" w:eastAsia="es-AR" w:bidi="es-AR"/>
        </w:rPr>
      </w:pPr>
      <w:r>
        <w:rPr>
          <w:lang w:val="es-AR" w:eastAsia="es-AR" w:bidi="es-AR"/>
        </w:rPr>
        <w:t xml:space="preserve">Se queja también, contra la parte del fallo que condena al pago de la suma de U$S 199.139, con más los intereses pactados en el pagaré que no obra en autos, con más los compensatorios en el 7% TNA, más un punitorio equivalente al 50% del compensatorio pactado.</w:t>
      </w:r>
    </w:p>
    <w:p>
      <w:pPr>
        <w:pStyle w:val="[Normal]"/>
        <w:spacing w:line="360" w:lineRule="auto"/>
        <w:ind w:firstLine="1134"/>
        <w:jc w:val="both"/>
        <w:rPr>
          <w:lang w:val="es-AR" w:eastAsia="es-AR" w:bidi="es-AR"/>
        </w:rPr>
      </w:pPr>
      <w:r>
        <w:rPr>
          <w:lang w:val="es-AR" w:eastAsia="es-AR" w:bidi="es-AR"/>
        </w:rPr>
        <w:t xml:space="preserve">Que dicha tasa de interés de una deuda en dólares, implica un ejercicio abusivo del derecho ( art. 10 C.C.C.), que el fallo desatiende la realidad económica y las consecuencias patrimoniales que se derivan del mismo, siendo que los jueces están compelidos a morigerar los intereses en resguardo del interés público.</w:t>
      </w:r>
    </w:p>
    <w:p>
      <w:pPr>
        <w:pStyle w:val="[Normal]"/>
        <w:spacing w:line="360" w:lineRule="auto"/>
        <w:ind w:firstLine="1134"/>
        <w:jc w:val="both"/>
        <w:rPr>
          <w:lang w:val="es-AR" w:eastAsia="es-AR" w:bidi="es-AR"/>
        </w:rPr>
      </w:pPr>
      <w:r>
        <w:rPr>
          <w:lang w:val="es-AR" w:eastAsia="es-AR" w:bidi="es-AR"/>
        </w:rPr>
        <w:t xml:space="preserve">Por último, se agravia también de la sentencia  dictada,  en tanto desestimó su planteo de aplicar al caso la teoría de la imprevisión, por la naturaleza ejecutiva del presente trámite. Así, con fundamento en los arts. 332 y 1091 del C.C.C., considera que su parte se halla con derecho a peticionar al juez ( por acción o como excepción ), la resolución total o parcial del contrato. Y, dado que el instrumento ha sido celebrado en la moneda dólares estadounidenses, corresponde la revisión del mismo con base en la teoría de la imprevisión y aporta el efecto jurisprudencia en tal sentido.</w:t>
      </w:r>
    </w:p>
    <w:p>
      <w:pPr>
        <w:pStyle w:val="[Normal]"/>
        <w:spacing w:line="360" w:lineRule="auto"/>
        <w:ind w:firstLine="1134"/>
        <w:jc w:val="both"/>
        <w:rPr>
          <w:lang w:val="es-AR" w:eastAsia="es-AR" w:bidi="es-AR"/>
        </w:rPr>
      </w:pPr>
      <w:r>
        <w:rPr>
          <w:lang w:val="es-AR" w:eastAsia="es-AR" w:bidi="es-AR"/>
        </w:rPr>
        <w:t xml:space="preserve">Hace reserva del caso federal y solicita que oportunamente se revoque el la sentencia apelada.</w:t>
      </w:r>
    </w:p>
    <w:p>
      <w:pPr>
        <w:pStyle w:val="[Normal]"/>
        <w:spacing w:line="360" w:lineRule="auto"/>
        <w:ind w:firstLine="1134"/>
        <w:jc w:val="both"/>
        <w:rPr>
          <w:lang w:val="es-AR" w:eastAsia="es-AR" w:bidi="es-AR"/>
        </w:rPr>
      </w:pPr>
      <w:r>
        <w:rPr>
          <w:lang w:val="es-AR" w:eastAsia="es-AR" w:bidi="es-AR"/>
        </w:rPr>
        <w:t xml:space="preserve">La parte actora replica y desestima cada uno de los agravios ensayados y solicita la confirmación del auto atacado.</w:t>
      </w:r>
    </w:p>
    <w:p>
      <w:pPr>
        <w:pStyle w:val="[Normal]"/>
        <w:spacing w:line="360" w:lineRule="auto"/>
        <w:ind w:firstLine="1134"/>
        <w:jc w:val="both"/>
        <w:rPr>
          <w:lang w:val="es-AR" w:eastAsia="es-AR" w:bidi="es-AR"/>
        </w:rPr>
      </w:pPr>
      <w:r>
        <w:rPr>
          <w:b/>
          <w:lang w:val="es-AR" w:eastAsia="es-AR" w:bidi="es-AR"/>
        </w:rPr>
        <w:t xml:space="preserve">b )</w:t>
      </w:r>
      <w:r>
        <w:rPr>
          <w:lang w:val="es-AR" w:eastAsia="es-AR" w:bidi="es-AR"/>
        </w:rPr>
        <w:t xml:space="preserve"> En tarea de decir, luego de ponderar los antecedentes que informan a la causa, la presentación inicial, las excepciones, la sentencia, los agravios adelanto la opinión que no lleva razón el apelante.</w:t>
      </w:r>
    </w:p>
    <w:p>
      <w:pPr>
        <w:pStyle w:val="[Normal]"/>
        <w:spacing w:line="360" w:lineRule="auto"/>
        <w:ind w:firstLine="1134"/>
        <w:jc w:val="both"/>
        <w:rPr>
          <w:lang w:val="es-AR" w:eastAsia="es-AR" w:bidi="es-AR"/>
        </w:rPr>
      </w:pPr>
      <w:r>
        <w:rPr>
          <w:lang w:val="es-AR" w:eastAsia="es-AR" w:bidi="es-AR"/>
        </w:rPr>
        <w:t xml:space="preserve">Para así decidir he de partir de la base que en autos se persigue, por la presente vía ejecutiva, el cobro  de un pagaré librado   por la empresa Lihue Tue S.A. a favor de la Entidad actora,  en la  modalidad a la vista  y con cláusula "sin protesto" (art. 50 Decr. Ley 5965/63), el cual fuera emitido por la mencionada empresa,   por la suma de U$S 200.000. ( Dólares Estadounidenses Doscientos Mil ).</w:t>
      </w:r>
    </w:p>
    <w:p>
      <w:pPr>
        <w:pStyle w:val="[Normal]"/>
        <w:spacing w:line="360" w:lineRule="auto"/>
        <w:ind w:firstLine="1134"/>
        <w:jc w:val="both"/>
        <w:rPr>
          <w:lang w:val="es-AR" w:eastAsia="es-AR" w:bidi="es-AR"/>
        </w:rPr>
      </w:pPr>
      <w:r>
        <w:rPr>
          <w:lang w:val="es-AR" w:eastAsia="es-AR" w:bidi="es-AR"/>
        </w:rPr>
        <w:t xml:space="preserve">Sin perjuicio de ello, la parte ejecutante denuncia  que se  han efectuado  pagos a cuenta previamente  por lo que ejecuta el  saldo insoluto de U$S 199.130.</w:t>
      </w:r>
    </w:p>
    <w:p>
      <w:pPr>
        <w:pStyle w:val="[Normal]"/>
        <w:spacing w:line="360" w:lineRule="auto"/>
        <w:ind w:firstLine="1134"/>
        <w:jc w:val="both"/>
        <w:rPr>
          <w:lang w:val="es-AR" w:eastAsia="es-AR" w:bidi="es-AR"/>
        </w:rPr>
      </w:pPr>
      <w:r>
        <w:rPr>
          <w:lang w:val="es-AR" w:eastAsia="es-AR" w:bidi="es-AR"/>
        </w:rPr>
        <w:t xml:space="preserve">Que, en fecha  4 de Agosto del año 2015, los Sres. Rojas Pablo, Rojas Alfredo y Brough Victoria suscribieron una Oferta de Fianza General hasta la suma de pesos cinco millones ($ 5.000.000. ) con más sus intereses y demás accesorios legales, constituyéndose en fiadores solidarios, liso, llano y principales pagadores, de manera incondicional, colocándose en las mismas condiciones que el obligado por la totalidad de las deudas y compromisos emergentes de las operaciones en moneda nacional y/o extranjera y/o títulos valores públicos naciones y/o provinciales y/o títulos de deuda privada, emitidos en moneda nacional o extranjera, en cualquiera de las líneas de crédito, pasadas, presentes, o que se habiliten en el futuro, que su  mandante haya efectuado, efectúe o efectuare en lo sucesivo con LIHUE TUE S.A..</w:t>
      </w:r>
    </w:p>
    <w:p>
      <w:pPr>
        <w:pStyle w:val="[Normal]"/>
        <w:spacing w:line="360" w:lineRule="auto"/>
        <w:ind w:firstLine="1134"/>
        <w:jc w:val="both"/>
        <w:rPr>
          <w:lang w:val="es-AR" w:eastAsia="es-AR" w:bidi="es-AR"/>
        </w:rPr>
      </w:pPr>
      <w:r>
        <w:rPr>
          <w:lang w:val="es-AR" w:eastAsia="es-AR" w:bidi="es-AR"/>
        </w:rPr>
        <w:t xml:space="preserve">Luego, con fecha 28 de Febrero de 2018, los Sres. Rojas Alfredo Luis y Miguens Maria Aurelia suscribieron una Oferta de Fianza General hasta la suma de pesos quince millones ($15.000.000.-) con más sus intereses y demás accesorios legales, constituyéndose en fiador solidario, liso, llano y principal pagador, en los mismos términos  que los anteriores fiadores presentes, en relación a la empresa  LIHUE TUE S.A.</w:t>
      </w:r>
    </w:p>
    <w:p>
      <w:pPr>
        <w:pStyle w:val="[Normal]"/>
        <w:spacing w:line="360" w:lineRule="auto"/>
        <w:ind w:firstLine="1134"/>
        <w:jc w:val="both"/>
        <w:rPr>
          <w:lang w:val="es-AR" w:eastAsia="es-AR" w:bidi="es-AR"/>
        </w:rPr>
      </w:pPr>
      <w:r>
        <w:rPr>
          <w:lang w:val="es-AR" w:eastAsia="es-AR" w:bidi="es-AR"/>
        </w:rPr>
        <w:t xml:space="preserve">Por ello, se dejó  constancia que con relación a los Sres. Rojas Pablo y Brough Victoria, su obligación se extiende hasta la suma de pesos cinco millones ($ 5.000.000) en concepto de capital con más los respectivos intereses y demás accesorios legales, cada uno de ellos. Y, con  relación a la Sra. Maria Aurelia Miguens su obligación se extiende hasta la suma de pesos quince millones ( $ 15.000.000 ) en concepto de capital con más los respectivos intereses y demás accesorios legales.  Finalmente respecto al Sr. Pablo Rojas su obligación se extiende hasta la suma de pesos veinte millones ( $ 20.000.000) en concepto de capital con más los respectivos intereses y demás accesorios legales.</w:t>
      </w:r>
    </w:p>
    <w:p>
      <w:pPr>
        <w:pStyle w:val="[Normal]"/>
        <w:spacing w:line="360" w:lineRule="auto"/>
        <w:ind w:firstLine="1134"/>
        <w:jc w:val="both"/>
        <w:rPr>
          <w:lang w:val="es-AR" w:eastAsia="es-AR" w:bidi="es-AR"/>
        </w:rPr>
      </w:pPr>
      <w:r>
        <w:rPr>
          <w:lang w:val="es-AR" w:eastAsia="es-AR" w:bidi="es-AR"/>
        </w:rPr>
        <w:t xml:space="preserve">Posteriormente, como consecuencia que los aquí ejecutados LIHUE TUE S.A. y el Sr. Alfredo  Luis Rojas se concursaron, la presente acción ejecutiva es continuada con los fiadores excepcionantes, en base al contrato de fianza, cuyas firmas han sido estampadas por ante Notario Público y no han sido cuestionadas.</w:t>
      </w:r>
    </w:p>
    <w:p>
      <w:pPr>
        <w:pStyle w:val="[Normal]"/>
        <w:spacing w:line="360" w:lineRule="auto"/>
        <w:ind w:firstLine="1134"/>
        <w:jc w:val="both"/>
        <w:rPr>
          <w:lang w:val="es-AR" w:eastAsia="es-AR" w:bidi="es-AR"/>
        </w:rPr>
      </w:pPr>
      <w:r>
        <w:rPr>
          <w:lang w:val="es-AR" w:eastAsia="es-AR" w:bidi="es-AR"/>
        </w:rPr>
        <w:t xml:space="preserve">Así las cosas, el juzgado de origen en despacho del día 14 / 05 / 2020, conforme   documentación  acompañada  y  lo dispuesto en los arts. 521 y 529  del  C.P.C.C.,  libró  mandamiento de ejecución y embargo contra Victoria  Brough,  Pablo  Rojas  y María  Aurelia  Miguens  por  la  suma de dólares estadounidenses ciento noventa y nueve mil  ciento treinta con 0/100  ( U$S 199.130,00).</w:t>
      </w:r>
    </w:p>
    <w:p>
      <w:pPr>
        <w:pStyle w:val="[Normal]"/>
        <w:spacing w:line="360" w:lineRule="auto"/>
        <w:ind w:firstLine="1134"/>
        <w:jc w:val="both"/>
        <w:rPr>
          <w:lang w:val="es-AR" w:eastAsia="es-AR" w:bidi="es-AR"/>
        </w:rPr>
      </w:pPr>
      <w:r>
        <w:rPr>
          <w:lang w:val="es-AR" w:eastAsia="es-AR" w:bidi="es-AR"/>
        </w:rPr>
        <w:t xml:space="preserve">Tal acto procesal, intimación de pago y embargo, ha sido declarado por el Legislador Provincial, como un trámite irrenunciable ( art. 541 del CPC.), en tanto constituye el acto introductorio de instancia que tiene por finalidad básica garantizar el contradictorio, toda vez que  se lo cita, para el caso que no abone lo reclamado,  para que oponga defensas legítimas ( art. 18 C.N.). Es decir que equivale a la notificación de la demanda abriéndose así la etapa contenciosa.</w:t>
      </w:r>
    </w:p>
    <w:p>
      <w:pPr>
        <w:pStyle w:val="[Normal]"/>
        <w:spacing w:line="360" w:lineRule="auto"/>
        <w:ind w:firstLine="1134"/>
        <w:jc w:val="both"/>
        <w:rPr>
          <w:lang w:val="es-AR" w:eastAsia="es-AR" w:bidi="es-AR"/>
        </w:rPr>
      </w:pPr>
      <w:r>
        <w:rPr>
          <w:lang w:val="es-AR" w:eastAsia="es-AR" w:bidi="es-AR"/>
        </w:rPr>
        <w:t xml:space="preserve">Y para proceder al libramiento ( art. 529 del CPC.), es deber del juez examinar el título base de la ejecución, es una primera valoración oficiosa de la Jurisdicción, para lo cual es menester la presentación del documento original.</w:t>
      </w:r>
    </w:p>
    <w:p>
      <w:pPr>
        <w:pStyle w:val="[Normal]"/>
        <w:spacing w:line="360" w:lineRule="auto"/>
        <w:ind w:firstLine="1134"/>
        <w:jc w:val="both"/>
        <w:rPr>
          <w:lang w:val="es-AR" w:eastAsia="es-AR" w:bidi="es-AR"/>
        </w:rPr>
      </w:pPr>
      <w:r>
        <w:rPr>
          <w:lang w:val="es-AR" w:eastAsia="es-AR" w:bidi="es-AR"/>
        </w:rPr>
        <w:t xml:space="preserve">En las presentes actuaciones, en el escrito de inicio  bajo el título " sumario " se denuncia como documentación el pagaré ( fs. 25 ) que en copia se glosa a fs. 24 y  en el cargo de fs. 28 vta. de la presentación inicial, se da cuenta de su existencia y su reserva en Secretaría el original conforme surge de fs. 29 in fine.</w:t>
      </w:r>
    </w:p>
    <w:p>
      <w:pPr>
        <w:pStyle w:val="[Normal]"/>
        <w:spacing w:line="360" w:lineRule="auto"/>
        <w:ind w:firstLine="1134"/>
        <w:jc w:val="both"/>
        <w:rPr>
          <w:lang w:val="es-AR" w:eastAsia="es-AR" w:bidi="es-AR"/>
        </w:rPr>
      </w:pPr>
      <w:r>
        <w:rPr>
          <w:lang w:val="es-AR" w:eastAsia="es-AR" w:bidi="es-AR"/>
        </w:rPr>
        <w:t xml:space="preserve">Hasta aquí las cosas, la demanda ejecutiva ha sido iniciada en debida forma, con la documentación respectiva y fundante de la demanda, la que fue examinada por el Sr. juez antes del despacho de la ejecución, por lo que mal puede el apelante referir a la inexistencia del pagaré, de cuyo pago los excepcionantes son fiadores lisos y llanos.</w:t>
      </w:r>
    </w:p>
    <w:p>
      <w:pPr>
        <w:pStyle w:val="[Normal]"/>
        <w:spacing w:line="360" w:lineRule="auto"/>
        <w:ind w:firstLine="1134"/>
        <w:jc w:val="both"/>
        <w:rPr>
          <w:lang w:val="es-AR" w:eastAsia="es-AR" w:bidi="es-AR"/>
        </w:rPr>
      </w:pPr>
      <w:r>
        <w:rPr>
          <w:lang w:val="es-AR" w:eastAsia="es-AR" w:bidi="es-AR"/>
        </w:rPr>
        <w:t xml:space="preserve">En el caso se da la particularidad que los ejecutados de autos se presentaron oponiendo excepciones en fecha 08 / 06 / 2020 y en 16 / 06 / 2020, cuando aún ordenado por el Sr. juez los respectivos mandamientos de  intimación  de pago y embargo,  estos no se habían diligenciado lo que se evidencia de las constancias de la causa dándose así, al decir del Dr. Augusto Morello, el supuesto de " </w:t>
      </w:r>
      <w:r>
        <w:rPr>
          <w:i/>
          <w:lang w:val="es-AR" w:eastAsia="es-AR" w:bidi="es-AR"/>
        </w:rPr>
        <w:t xml:space="preserve">presentación expontánea</w:t>
      </w:r>
      <w:r>
        <w:rPr>
          <w:lang w:val="es-AR" w:eastAsia="es-AR" w:bidi="es-AR"/>
        </w:rPr>
        <w:t xml:space="preserve"> </w:t>
      </w:r>
      <w:r>
        <w:rPr>
          <w:i/>
          <w:lang w:val="es-AR" w:eastAsia="es-AR" w:bidi="es-AR"/>
        </w:rPr>
        <w:t xml:space="preserve">de los ejecutados</w:t>
      </w:r>
      <w:r>
        <w:rPr>
          <w:lang w:val="es-AR" w:eastAsia="es-AR" w:bidi="es-AR"/>
        </w:rPr>
        <w:t xml:space="preserve"> " ( cfr. Morello: Cods. T. VI B. p. 58, Der. v. 50 p. 423 ).</w:t>
      </w:r>
    </w:p>
    <w:p>
      <w:pPr>
        <w:pStyle w:val="[Normal]"/>
        <w:spacing w:line="360" w:lineRule="auto"/>
        <w:ind w:firstLine="1134"/>
        <w:jc w:val="both"/>
        <w:rPr>
          <w:lang w:val="es-AR" w:eastAsia="es-AR" w:bidi="es-AR"/>
        </w:rPr>
      </w:pPr>
      <w:r>
        <w:rPr>
          <w:lang w:val="es-AR" w:eastAsia="es-AR" w:bidi="es-AR"/>
        </w:rPr>
        <w:t xml:space="preserve">Y así,  al introducirse en el proceso  en tales términos importó para los fiadores darse por intimados y citados de remate ( cfr. en tal sentido Morello: ob. y pág. cit. )  y con ello  los excepcionantes se impusieron de los términos de la presentación de inicio, como el cargo que se colocó al pie de dicha presentación y del desglose de la documentación en Secretaría y  de la existencia del pagaré. Por tal razón, presentarse y oponer excepción de inhabilidad de título, que más bien refiere a la inexistencia de título, los coloca en una posición de una dualidad inadmisble en derecho pretendiendo así prevalerse no de una omisión actoral sino  "</w:t>
      </w:r>
      <w:r>
        <w:rPr>
          <w:i/>
          <w:lang w:val="es-AR" w:eastAsia="es-AR" w:bidi="es-AR"/>
        </w:rPr>
        <w:t xml:space="preserve">anticiparse</w:t>
      </w:r>
      <w:r>
        <w:rPr>
          <w:lang w:val="es-AR" w:eastAsia="es-AR" w:bidi="es-AR"/>
        </w:rPr>
        <w:t xml:space="preserve"> " para lograr una sentencia como  pretende.</w:t>
      </w:r>
    </w:p>
    <w:p>
      <w:pPr>
        <w:pStyle w:val="[Normal]"/>
        <w:spacing w:line="360" w:lineRule="auto"/>
        <w:ind w:firstLine="1134"/>
        <w:jc w:val="both"/>
        <w:rPr>
          <w:lang w:val="es-AR" w:eastAsia="es-AR" w:bidi="es-AR"/>
        </w:rPr>
      </w:pPr>
      <w:r>
        <w:rPr>
          <w:lang w:val="es-AR" w:eastAsia="es-AR" w:bidi="es-AR"/>
        </w:rPr>
        <w:t xml:space="preserve">Además que tal dualidad no tiene cabida en el derecho ( teoría de los actos propios ), al darse por intimados y presentarse en el modo dicho, aceptaron  el contenido del expediente en el estado que estaba y así siempre tuvieron conocimiento  que  el documento original se hallaba reservado en Secretaría.</w:t>
      </w:r>
    </w:p>
    <w:p>
      <w:pPr>
        <w:pStyle w:val="[Normal]"/>
        <w:spacing w:line="360" w:lineRule="auto"/>
        <w:ind w:firstLine="1134"/>
        <w:jc w:val="both"/>
        <w:rPr>
          <w:lang w:val="es-AR" w:eastAsia="es-AR" w:bidi="es-AR"/>
        </w:rPr>
      </w:pPr>
      <w:r>
        <w:rPr>
          <w:lang w:val="es-AR" w:eastAsia="es-AR" w:bidi="es-AR"/>
        </w:rPr>
        <w:t xml:space="preserve">Por lo demás, el Acuerdo 3886/ 18 que reglamenta las presentaciones electrónicas, en su Artículo 4 (Documentos acompañados con las presentaciones electrónicas), establece: " ... Cuando se agregue documentación con una solicitud electrónica tendrá que adjuntarse su copia digital en el sistema de Notificaciones y Presentaciones Electrónicas. Al efecto, los documentos deberán ser digitalizados por los requirentes e incluidos como archivo adjunto de la presentación electrónica respectiva, excepto que se peticione según lo establecido en el artículo 121 del C.P.C.C..." Y en el apartado c), establece " Sanción ante  Incumplimiento; en caso de incumplimiento, los organismos jurisdiccionales deberán intimar –MEDIANTE CÉDULA ELECTRÓNICA- al interesado. A resumidas cuentas, el plazo para cumplimentar con la medida comenzará a correr desde el momento en que se tuviere por NOTIFICADA la intimación -conforme art. 7 del Ac. SCBA 3845/17-...".</w:t>
      </w:r>
    </w:p>
    <w:p>
      <w:pPr>
        <w:pStyle w:val="[Normal]"/>
        <w:spacing w:line="360" w:lineRule="auto"/>
        <w:ind w:firstLine="1134"/>
        <w:jc w:val="both"/>
        <w:rPr>
          <w:lang w:val="es-AR" w:eastAsia="es-AR" w:bidi="es-AR"/>
        </w:rPr>
      </w:pPr>
      <w:r>
        <w:rPr>
          <w:lang w:val="es-AR" w:eastAsia="es-AR" w:bidi="es-AR"/>
        </w:rPr>
        <w:t xml:space="preserve">En el caso,  la Jurisdicción primera no  advirtió tal circunstancia y ello  no le es imputable a la parte, atento el texto expreso de la Reglamentación y mucho menos que sea el fundamento para pretender una sentencia de rechazo de la demanda por inexistencia de título.</w:t>
      </w:r>
    </w:p>
    <w:p>
      <w:pPr>
        <w:pStyle w:val="[Normal]"/>
        <w:spacing w:line="360" w:lineRule="auto"/>
        <w:ind w:firstLine="1134"/>
        <w:jc w:val="both"/>
        <w:rPr>
          <w:lang w:val="es-AR" w:eastAsia="es-AR" w:bidi="es-AR"/>
        </w:rPr>
      </w:pPr>
      <w:r>
        <w:rPr>
          <w:lang w:val="es-AR" w:eastAsia="es-AR" w:bidi="es-AR"/>
        </w:rPr>
        <w:t xml:space="preserve">Por otro lado,  la ley procesal  admite la vía procesal ejecutiva en virtud de la existencia de un título que traiga aparejada ejecución ( art. 518 CPC.), y ello fue cumplido por la ejecutante. Y, si bien la Reglamentación de la presentaciones electrónicas no fue observada  por el juzgado de origen, tal inobservancia se subsana con la intimación mediante cédula y por ello no puede acarrear el resultado pretendido por la apelante.</w:t>
      </w:r>
    </w:p>
    <w:p>
      <w:pPr>
        <w:pStyle w:val="[Normal]"/>
        <w:spacing w:line="360" w:lineRule="auto"/>
        <w:ind w:firstLine="1134"/>
        <w:jc w:val="both"/>
        <w:rPr>
          <w:lang w:val="es-AR" w:eastAsia="es-AR" w:bidi="es-AR"/>
        </w:rPr>
      </w:pPr>
      <w:r>
        <w:rPr>
          <w:lang w:val="es-AR" w:eastAsia="es-AR" w:bidi="es-AR"/>
        </w:rPr>
        <w:t xml:space="preserve">Así las cosas, el agravio por ausencia de título ejecutivo no puede ser recibido y más aún, el juez de grado al dictar el pronunciamiento refirió a la existencia  del pagaré  glosado a fs. 24 y frente a ello, la memoria traída importa una reiteración de lo expuesto al oponer la excepción en contraposición a lo normado por el art. 260 CPC.</w:t>
      </w:r>
    </w:p>
    <w:p>
      <w:pPr>
        <w:pStyle w:val="[Normal]"/>
        <w:spacing w:line="360" w:lineRule="auto"/>
        <w:ind w:firstLine="1134"/>
        <w:jc w:val="both"/>
        <w:rPr>
          <w:lang w:val="es-AR" w:eastAsia="es-AR" w:bidi="es-AR"/>
        </w:rPr>
      </w:pPr>
      <w:r>
        <w:rPr>
          <w:lang w:val="es-AR" w:eastAsia="es-AR" w:bidi="es-AR"/>
        </w:rPr>
        <w:t xml:space="preserve">Como consecuencia de ello, el título pagaré resulta hábil, dado que sus requisitos no ha sido cuestionados y así queda expedita la acción ejecutiva contra los fiadores.</w:t>
      </w:r>
    </w:p>
    <w:p>
      <w:pPr>
        <w:pStyle w:val="[Normal]"/>
        <w:spacing w:line="360" w:lineRule="auto"/>
        <w:ind w:firstLine="1134"/>
        <w:jc w:val="both"/>
        <w:rPr>
          <w:lang w:val="es-AR" w:eastAsia="es-AR" w:bidi="es-AR"/>
        </w:rPr>
      </w:pPr>
      <w:r>
        <w:rPr>
          <w:lang w:val="es-AR" w:eastAsia="es-AR" w:bidi="es-AR"/>
        </w:rPr>
        <w:t xml:space="preserve">Tampoco lleva razón el apelante en relación al segmento del fallo que determinó los intereses, ello por cuanto los fijados han sido los pactados y sabido es  que el contrato como sus cláusulas es ley para las partes, se interpretan, ejecutan de buena fe y nacen para ser  cumplidos. ( arts. 958,  959, 961  C.C.C.).</w:t>
      </w:r>
    </w:p>
    <w:p>
      <w:pPr>
        <w:pStyle w:val="[Normal]"/>
        <w:spacing w:line="360" w:lineRule="auto"/>
        <w:ind w:firstLine="1134"/>
        <w:jc w:val="both"/>
        <w:rPr>
          <w:lang w:val="es-AR" w:eastAsia="es-AR" w:bidi="es-AR"/>
        </w:rPr>
      </w:pPr>
      <w:r>
        <w:rPr>
          <w:lang w:val="es-AR" w:eastAsia="es-AR" w:bidi="es-AR"/>
        </w:rPr>
        <w:t xml:space="preserve">Desde esta base fondal, resulta ajustado a derecho  lo expuesto por el Sr. juez de grado, ordenando  estarse a lo pactado dejando a salvo la facultad morigeradora para cuando en el caso de practicarse liquidación definitiva, el resultado sea violatorio del orden público o la moral ( arts. 10 y 279 C.C.C.). Es decir que lo decidido se fundamentó en la ley  general y en la particular que es el contrato entre las partes, máxime que al tiempo del dictado de la sentencia, no resulta oportuno practicar liquidación alguna y entonces lo pretendido era resolver en hipótesis lo que está vedado a la Judicatura.</w:t>
      </w:r>
    </w:p>
    <w:p>
      <w:pPr>
        <w:pStyle w:val="[Normal]"/>
        <w:spacing w:line="360" w:lineRule="auto"/>
        <w:ind w:firstLine="1134"/>
        <w:jc w:val="both"/>
        <w:rPr>
          <w:lang w:val="es-AR" w:eastAsia="es-AR" w:bidi="es-AR"/>
        </w:rPr>
      </w:pPr>
      <w:r>
        <w:rPr>
          <w:lang w:val="es-AR" w:eastAsia="es-AR" w:bidi="es-AR"/>
        </w:rPr>
        <w:t xml:space="preserve">Finalmente tampoco ha de recibirse el último de los agravios relativo a la inaplicabilidad de la teoría de la imprevisión por la naturaleza del presente trámite, en tanto la parte puede, conforme la normativa fondal, plantearlo tanto como acción como por excepción.</w:t>
      </w:r>
    </w:p>
    <w:p>
      <w:pPr>
        <w:pStyle w:val="[Normal]"/>
        <w:spacing w:line="360" w:lineRule="auto"/>
        <w:ind w:firstLine="1134"/>
        <w:jc w:val="both"/>
        <w:rPr>
          <w:lang w:val="es-AR" w:eastAsia="es-AR" w:bidi="es-AR"/>
        </w:rPr>
      </w:pPr>
      <w:r>
        <w:rPr>
          <w:lang w:val="es-AR" w:eastAsia="es-AR" w:bidi="es-AR"/>
        </w:rPr>
        <w:t xml:space="preserve">Cierto es que el art. 1091 del C.C.C., ( 1198 C.C.)  establece "...  Imprevisión: Si en un contrato conmutativo de ejecución diferida o permanente, la prestación a cargo de una de las partes se torna excesivamente onerosa, por una alteración extraordinaria de las circunstancias existentes al tiempo de su celebración, sobrevenida por causas ajenas a las partes y al riesgo asumido por la que es afectada, ésta tiene derecho a plantear extrajudicialmente, o pedir ante un juez, </w:t>
      </w:r>
      <w:r>
        <w:rPr>
          <w:i/>
          <w:u w:val="single"/>
          <w:lang w:val="es-AR" w:eastAsia="es-AR" w:bidi="es-AR"/>
        </w:rPr>
        <w:t xml:space="preserve">por acción o como excepción</w:t>
      </w:r>
      <w:r>
        <w:rPr>
          <w:lang w:val="es-AR" w:eastAsia="es-AR" w:bidi="es-AR"/>
        </w:rPr>
        <w:t xml:space="preserve">, la resolución total o parcial del contrato, o su adecuación. Igual regla se aplica al tercero a quien le han sido conferidos derechos, o asignadas obligaciones, resultantes del contrato; y al contrato aleatorio si la prestación se torna excesivamente onerosa por causas extrañas a su álea propia...". ( el subrayado me pertenece ).</w:t>
      </w:r>
    </w:p>
    <w:p>
      <w:pPr>
        <w:pStyle w:val="[Normal]"/>
        <w:spacing w:line="360" w:lineRule="auto"/>
        <w:ind w:firstLine="1134"/>
        <w:jc w:val="both"/>
        <w:rPr>
          <w:lang w:val="es-AR" w:eastAsia="es-AR" w:bidi="es-AR"/>
        </w:rPr>
      </w:pPr>
      <w:r>
        <w:rPr>
          <w:lang w:val="es-AR" w:eastAsia="es-AR" w:bidi="es-AR"/>
        </w:rPr>
        <w:t xml:space="preserve">Empero de una lectura literal del artículo, sin hesitación se observa que la facultad de peticionar al juez ya sea la  resolución total o parcial o adecuación del contrato por vía de acción o de excepción, refiere a a un contrato y por la naturaleza y particularidad del planteo requiere de un proceso de conocimiento amplio ajeno al acotado marco cognocitivo del presente procedimiento  ejecutivo. </w:t>
      </w:r>
    </w:p>
    <w:p>
      <w:pPr>
        <w:pStyle w:val="[Normal]"/>
        <w:spacing w:line="360" w:lineRule="auto"/>
        <w:ind w:firstLine="1134"/>
        <w:jc w:val="both"/>
        <w:rPr>
          <w:lang w:val="es-AR" w:eastAsia="es-AR" w:bidi="es-AR"/>
        </w:rPr>
      </w:pPr>
      <w:r>
        <w:rPr>
          <w:lang w:val="es-AR" w:eastAsia="es-AR" w:bidi="es-AR"/>
        </w:rPr>
        <w:t xml:space="preserve">Tal como se dijera ut supra, los contratos se celebran, se interpretan, se ejecutan de buena fe y "... </w:t>
      </w:r>
      <w:r>
        <w:rPr>
          <w:i/>
          <w:lang w:val="es-AR" w:eastAsia="es-AR" w:bidi="es-AR"/>
        </w:rPr>
        <w:t xml:space="preserve">nacen para ser cumplidos</w:t>
      </w:r>
      <w:r>
        <w:rPr>
          <w:lang w:val="es-AR" w:eastAsia="es-AR" w:bidi="es-AR"/>
        </w:rPr>
        <w:t xml:space="preserve">... ( Spota Alberto, Leiva Fernadez: " Instituciones de Derecho Civil, Contratos, L.L. Buenos Aires, 2009 T. III. núm. 741, pág. 737 ) y la pretensión que la legislación le otorga al contratante requiere de un amplio debate, dado que una resolución favorable importa dejar sin efecto uno de los principios rectores que rige la materia contractual que es el de la conservación de los actos jurídicos. La seguridad del tráfico comercial, basado en la presunción de la buena fe contractual,  requiere de un proceso de conocimiento amplio que otorgue certezas y seguridades para no afectar sus bases.</w:t>
      </w:r>
    </w:p>
    <w:p>
      <w:pPr>
        <w:pStyle w:val="[Normal]"/>
        <w:spacing w:line="360" w:lineRule="auto"/>
        <w:ind w:firstLine="1134"/>
        <w:jc w:val="both"/>
        <w:rPr>
          <w:lang w:val="es-AR" w:eastAsia="es-AR" w:bidi="es-AR"/>
        </w:rPr>
      </w:pPr>
      <w:r>
        <w:rPr>
          <w:lang w:val="es-AR" w:eastAsia="es-AR" w:bidi="es-AR"/>
        </w:rPr>
        <w:t xml:space="preserve">Tal seguridad se vería seriamente cuestionada, cuando como en el caso con una simple descripción objetiva, sin prueba alguna se ponga fin o se readecúe un contrato que, vale reiterar, nació  para ser cumplido.</w:t>
      </w:r>
    </w:p>
    <w:p>
      <w:pPr>
        <w:pStyle w:val="[Normal]"/>
        <w:spacing w:line="360" w:lineRule="auto"/>
        <w:ind w:firstLine="1134"/>
        <w:jc w:val="both"/>
        <w:rPr>
          <w:lang w:val="es-AR" w:eastAsia="es-AR" w:bidi="es-AR"/>
        </w:rPr>
      </w:pPr>
      <w:r>
        <w:rPr>
          <w:lang w:val="es-AR" w:eastAsia="es-AR" w:bidi="es-AR"/>
        </w:rPr>
        <w:t xml:space="preserve">Ello ha sido receptado jurisprudencialmente al decir que "... La invocación del art. 1198 del Código Civil puede hacerse solamente en procesos que permitan adentrarse en el estudio y conocimiento de la causa de la obligación, para así poder juzgar la conducta de los contratantes, cosa que no se puede realizar dentro del estrecho marco del juicio ejecutivo..." ( Sumario del fallo 6  de Marzo de 1990 Id SAIJ: SUB0350316 )</w:t>
      </w:r>
    </w:p>
    <w:p>
      <w:pPr>
        <w:pStyle w:val="[Normal]"/>
        <w:spacing w:line="360" w:lineRule="auto"/>
        <w:ind w:firstLine="1134"/>
        <w:jc w:val="both"/>
        <w:rPr>
          <w:lang w:val="es-AR" w:eastAsia="es-AR" w:bidi="es-AR"/>
        </w:rPr>
      </w:pPr>
      <w:r>
        <w:rPr>
          <w:lang w:val="es-AR" w:eastAsia="es-AR" w:bidi="es-AR"/>
        </w:rPr>
        <w:t xml:space="preserve">"... No puede dejar de tenerse en cuenta que en el ámbito de la ejecución hipotecaria no cabe discutir los términos de la escritura de constitución y para considerar la viabilidad del resorte regulado por el artículo 1198 del Código Civil, es preciso analizar todo lo concerniente al contrato que subyace, lo que resulta inviable en esta clase de juicio abreviado, sin perjuicio de su planteamiento en juicio de conocimiento..."  ( CC0201 LP 100661 RSD-172-5 S 18/08/2005 ).</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GRACIELA SCARAFFIA, ROBERTO M. DEGLEUE</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w:t>
      </w:r>
      <w:r>
        <w:rPr>
          <w:color w:val="000000"/>
          <w:lang w:val="es-AR" w:eastAsia="es-AR" w:bidi="es-AR"/>
        </w:rPr>
        <w:t xml:space="preserve">BERNARDO LOUISE</w:t>
      </w:r>
      <w:r>
        <w:rPr>
          <w:lang w:val="es-AR" w:eastAsia="es-AR" w:bidi="es-AR"/>
        </w:rPr>
        <w:t xml:space="preserv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y en consecuencia confirmar en todas sus partes el auto atacado. Con costas al apelante vencido que resulta perdedor ( art. 68 CPC.). Diferir la regulación de los honorarios de los Letrados intervinientes para el momento procesal oportuno ( art. 31 de la Ley Honorarios ).</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GRACIELA SCARAFFIA, ROBERTO M. DEGLEUE</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y en consecuencia confirmar en todas sus partes el auto atacado. Con costas al apelante vencido que resulta perdedor ( art. 68 CPC.). Diferir la regulación de los honorarios de los Letrados intervinientes para el momento procesal oportuno ( art. 31 de la Ley Honorarios ).</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r>
        <w:rPr>
          <w:noProof/>
          <w:color w:val="000000"/>
          <w:lang w:val="es-AR" w:eastAsia="es-AR" w:bidi="es-AR"/>
        </w:rPr>
        <w:t xml:space="preserve">20228999262@NOTIFICACIONES.SCBA.GOV.AR</w:t>
      </w:r>
    </w:p>
    <w:p>
      <w:pPr>
        <w:pStyle w:val="[Normal]"/>
        <w:rPr>
          <w:color w:val="000000"/>
          <w:lang w:val="es-AR" w:eastAsia="es-AR" w:bidi="es-AR"/>
        </w:rPr>
      </w:pPr>
      <w:r>
        <w:rPr>
          <w:noProof/>
          <w:color w:val="000000"/>
          <w:lang w:val="es-AR" w:eastAsia="es-AR" w:bidi="es-AR"/>
        </w:rPr>
        <w:t xml:space="preserve">20209887070@NOTIFICACIONES.SCBA.GOV.AR</w:t>
      </w:r>
      <w:r>
        <w:rPr>
          <w:color w:val="000000"/>
          <w:lang w:val="es-AR" w:eastAsia="es-AR" w:bidi="es-AR"/>
        </w:rPr>
        <w:t xml:space="preserve">  </w:t>
      </w: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09/03/2021 09:10:03 -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09/03/2021 09:25:45 -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09/03/2021 09:26:47 -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09/03/2021 10:37:27 -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20209887070@NOTIFICACIONES.SCBA.GOV.AR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20228999262@NOTIFICACIONES.SCBA.GOV.AR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‰8r")è%)Y~rŠ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248202090005095794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4141 - 20 - BANCO CREDICOOP COOPERATIVO LTDO. C/ ROJAS PABLO LUIS Y OTROS S/ COBRO EJECUTIVO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‰8r")è%)Y~rŠ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248202090005095794</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