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33/</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164/168</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30 de Marzo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b/>
          <w:color w:val="000000"/>
          <w:lang w:val="es-AR" w:eastAsia="es-AR" w:bidi="es-AR"/>
        </w:rPr>
        <w:t xml:space="preserve">4147-20</w:t>
      </w:r>
      <w:r>
        <w:rPr>
          <w:lang w:val="es-AR" w:eastAsia="es-AR" w:bidi="es-AR"/>
        </w:rPr>
        <w:t xml:space="preserve"> caratulada </w:t>
      </w:r>
      <w:r>
        <w:rPr>
          <w:b/>
          <w:lang w:val="es-AR" w:eastAsia="es-AR" w:bidi="es-AR"/>
        </w:rPr>
        <w:t xml:space="preserve">"</w:t>
      </w:r>
      <w:r>
        <w:rPr>
          <w:b/>
          <w:color w:val="000000"/>
          <w:lang w:val="es-AR" w:eastAsia="es-AR" w:bidi="es-AR"/>
        </w:rPr>
        <w:t xml:space="preserve">BANCO DE LA PROVINCIA DE BUENOS AIRES  C/ MIGUENS AURELIA MARIA S/ COBRO EJECUTIVO</w:t>
      </w:r>
      <w:r>
        <w:rPr>
          <w:b/>
          <w:lang w:val="es-AR" w:eastAsia="es-AR" w:bidi="es-AR"/>
        </w:rPr>
        <w:t xml:space="preserve">"</w:t>
      </w:r>
      <w:r>
        <w:rPr>
          <w:lang w:val="es-AR" w:eastAsia="es-AR" w:bidi="es-AR"/>
        </w:rPr>
        <w:t xml:space="preserve">, Expte. N° </w:t>
      </w:r>
      <w:r>
        <w:rPr>
          <w:color w:val="000000"/>
          <w:lang w:val="es-AR" w:eastAsia="es-AR" w:bidi="es-AR"/>
        </w:rPr>
        <w:t xml:space="preserve">74974 </w:t>
      </w:r>
      <w:r>
        <w:rPr>
          <w:lang w:val="es-AR" w:eastAsia="es-AR" w:bidi="es-AR"/>
        </w:rPr>
        <w:t xml:space="preserve">del </w:t>
      </w:r>
      <w:r>
        <w:rPr>
          <w:color w:val="000000"/>
          <w:lang w:val="es-AR" w:eastAsia="es-AR" w:bidi="es-AR"/>
        </w:rPr>
        <w:t xml:space="preserve">Juzgado en lo Civil y Comercial N° 1</w:t>
      </w:r>
      <w:r>
        <w:rPr>
          <w:lang w:val="es-AR" w:eastAsia="es-AR" w:bidi="es-AR"/>
        </w:rPr>
        <w:t xml:space="preserve">, se practicó el sorteo de ley que determinó que la votación debía efectuarse en el siguiente orden: Roberto Manuel Degleue, Bernardo Louise, Graciela Scaraffia, y estudiados los autos se resolvió  plantear y votar las siguientes: </w:t>
      </w:r>
    </w:p>
    <w:p>
      <w:pPr>
        <w:pStyle w:val="[Normal]"/>
        <w:spacing w:line="360" w:lineRule="auto"/>
        <w:ind w:firstLine="1134"/>
        <w:jc w:val="both"/>
        <w:rPr>
          <w:lang w:val="es-AR" w:eastAsia="es-AR" w:bidi="es-AR"/>
        </w:rPr>
      </w:pPr>
      <w:r>
        <w:rPr>
          <w:b/>
          <w:u w:val="single"/>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360" w:lineRule="auto"/>
        <w:ind w:firstLine="1134"/>
        <w:jc w:val="both"/>
        <w:rPr>
          <w:lang w:val="es-AR" w:eastAsia="es-AR" w:bidi="es-AR"/>
        </w:rPr>
      </w:pPr>
      <w:r>
        <w:rPr>
          <w:lang w:val="es-AR" w:eastAsia="es-AR" w:bidi="es-AR"/>
        </w:rPr>
        <w:t xml:space="preserve">El señor Juez de la anterior sede rechazó la excepción de inhabilidad de título, mandando llevar adelante la ejecución hasta tanto la ejecutada Maria Aurelia Miguens -atento el monto por el cual se ha obligado mediante contratos de fianza -U$S274.000 y $2.500.000-, haga al acreedor BANCO DE LA PROVINCIA DE BUENOS AIRES pago: a) del capital reclamado de CIENTO CUARENTA Y OCHO MIL CIENTO VEINTIOCHO Dólares Estadounidenses CON 08/100 (U$S 148.128,08), con más los intereses liquidados en la forma pactada, desde el  día de la mora: 22-11-2019, con la salvedad de que se evaluará si los mismos son excesivos y contrarios a la moral y buenas costumbres, en el momento procesal de examinar la  liquidación, teniendo en cuenta lo que disponen los arts. 10, 279, 725, 794 y ccs del C.C.C.N.; b) de la suma de DOSCIENTOS VEINTIOCHO MIL SESENTA Y CUATRO Pesos con 51/100 ($ 228.064,51), con más los intereses. Aplicó las costas al demandado y difirió la regulación de honorarios de los profesionales intervinientes.</w:t>
      </w:r>
    </w:p>
    <w:p>
      <w:pPr>
        <w:pStyle w:val="[Normal]"/>
        <w:spacing w:line="360" w:lineRule="auto"/>
        <w:ind w:firstLine="1134"/>
        <w:jc w:val="both"/>
        <w:rPr>
          <w:lang w:val="es-AR" w:eastAsia="es-AR" w:bidi="es-AR"/>
        </w:rPr>
      </w:pPr>
      <w:r>
        <w:rPr>
          <w:lang w:val="es-AR" w:eastAsia="es-AR" w:bidi="es-AR"/>
        </w:rPr>
        <w:t xml:space="preserve">Disconforme con lo decidido apela el apoderado de la demandada el 16/11/2020, recurso que es concedido en relación y fundado el 19/11/2020, confiriéndose traslado del mismo a la parte actora el que es evacuado en término mediante presentación electrónica de fecha 09/12/2020.</w:t>
      </w:r>
    </w:p>
    <w:p>
      <w:pPr>
        <w:pStyle w:val="[Normal]"/>
        <w:spacing w:line="360" w:lineRule="auto"/>
        <w:ind w:firstLine="1134"/>
        <w:jc w:val="both"/>
        <w:rPr>
          <w:lang w:val="es-AR" w:eastAsia="es-AR" w:bidi="es-AR"/>
        </w:rPr>
      </w:pPr>
      <w:r>
        <w:rPr>
          <w:lang w:val="es-AR" w:eastAsia="es-AR" w:bidi="es-AR"/>
        </w:rPr>
        <w:t xml:space="preserve">Elevados los autos a ésta Alzada el 14/12/2020, se llama a autos para dictar sentencia,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Los agravios expuestos por el apoderado de la demandada,  principian por considerar que el error del juez ha sido tener por completo el título ejecutivo por una presunta obligación afianzada en dólares estadounidenses que carece de debida integración y completitud para adquirir la calidad de título ejecutivo.</w:t>
      </w:r>
    </w:p>
    <w:p>
      <w:pPr>
        <w:pStyle w:val="[Normal]"/>
        <w:spacing w:line="360" w:lineRule="auto"/>
        <w:ind w:firstLine="1134"/>
        <w:jc w:val="both"/>
        <w:rPr>
          <w:lang w:val="es-AR" w:eastAsia="es-AR" w:bidi="es-AR"/>
        </w:rPr>
      </w:pPr>
      <w:r>
        <w:rPr>
          <w:lang w:val="es-AR" w:eastAsia="es-AR" w:bidi="es-AR"/>
        </w:rPr>
        <w:t xml:space="preserve">Que el juez a-quo, no tuvo en cuenta que el título que se pretende ejecutar a su mandante es una fianza, que no trae aparejada ejecución por si, siendo la accesoriedad de dicho contrato una de sus características, por lo que resulta necesario acreditar la existencia de la deuda a la que accede la fianza, de modo que correspondía la declaración de inhabilidad de título.</w:t>
      </w:r>
    </w:p>
    <w:p>
      <w:pPr>
        <w:pStyle w:val="[Normal]"/>
        <w:spacing w:line="360" w:lineRule="auto"/>
        <w:ind w:firstLine="1134"/>
        <w:jc w:val="both"/>
        <w:rPr>
          <w:lang w:val="es-AR" w:eastAsia="es-AR" w:bidi="es-AR"/>
        </w:rPr>
      </w:pPr>
      <w:r>
        <w:rPr>
          <w:lang w:val="es-AR" w:eastAsia="es-AR" w:bidi="es-AR"/>
        </w:rPr>
        <w:t xml:space="preserve">Que el solo hecho de que la obligada principal, Lihue Tue S.A. se encuentre en concurso preventivo, y que por ese motivo no haya sido demandada en este proceso, no obsta que se invoque y acredite la legitimidad de su crédito, complementándose el título que se pretende ejecutar con toda la documentación respaldatoria de la invocada deuda de la principal, de la cual sostiene, su parte fue absolutamente ajena, y que en la pretensión no existe coincidencia entre el importe reclamado y el valor del supuesto convenio de refinanciación de deuda.</w:t>
      </w:r>
    </w:p>
    <w:p>
      <w:pPr>
        <w:pStyle w:val="[Normal]"/>
        <w:spacing w:line="360" w:lineRule="auto"/>
        <w:ind w:firstLine="1134"/>
        <w:jc w:val="both"/>
        <w:rPr>
          <w:lang w:val="es-AR" w:eastAsia="es-AR" w:bidi="es-AR"/>
        </w:rPr>
      </w:pPr>
      <w:r>
        <w:rPr>
          <w:lang w:val="es-AR" w:eastAsia="es-AR" w:bidi="es-AR"/>
        </w:rPr>
        <w:t xml:space="preserve">Se queja también, contra la parte del fallo que condena al pago de una suma en dólares estadounidenses con más intereses liquidados en la forma pactada. Enfatiza que aplicar intereses a una deuda en dólares, implica un ejercicio abusivo del derecho en los términos del art. 10 del C.C.C., que el fallo desatiende la realidad económica y las consecuencias patrimoniales que se derivan del mismo, siendo que los jueces deben morigerar los intereses en resguardo del orden moral y el interés público.</w:t>
      </w:r>
    </w:p>
    <w:p>
      <w:pPr>
        <w:pStyle w:val="[Normal]"/>
        <w:spacing w:line="360" w:lineRule="auto"/>
        <w:ind w:firstLine="1134"/>
        <w:jc w:val="both"/>
        <w:rPr>
          <w:lang w:val="es-AR" w:eastAsia="es-AR" w:bidi="es-AR"/>
        </w:rPr>
      </w:pPr>
      <w:r>
        <w:rPr>
          <w:lang w:val="es-AR" w:eastAsia="es-AR" w:bidi="es-AR"/>
        </w:rPr>
        <w:t xml:space="preserve">Por último, se agravia también de la sentencia  dictada,  en tanto desestimó su planteo de aplicar al caso la teoría de la imprevisión con fundamento en los arts. 332 y 1091 del C.C.C., por lo que dado que el instrumento ha sido celebrado en la moneda dólares estadounidenses, corresponde la revisión del mismo con base en tal teoría, citando jurisprudencia que considera aplicable al caso </w:t>
      </w:r>
    </w:p>
    <w:p>
      <w:pPr>
        <w:pStyle w:val="[Normal]"/>
        <w:spacing w:line="360" w:lineRule="auto"/>
        <w:ind w:firstLine="1134"/>
        <w:jc w:val="both"/>
        <w:rPr>
          <w:lang w:val="es-AR" w:eastAsia="es-AR" w:bidi="es-AR"/>
        </w:rPr>
      </w:pPr>
      <w:r>
        <w:rPr>
          <w:lang w:val="es-AR" w:eastAsia="es-AR" w:bidi="es-AR"/>
        </w:rPr>
        <w:t xml:space="preserve">Hace reserva del caso federal y solicita que oportunamente se revoque la sentencia apelada.</w:t>
      </w:r>
    </w:p>
    <w:p>
      <w:pPr>
        <w:pStyle w:val="[Normal]"/>
        <w:spacing w:line="360" w:lineRule="auto"/>
        <w:ind w:firstLine="1134"/>
        <w:jc w:val="both"/>
        <w:rPr>
          <w:lang w:val="es-AR" w:eastAsia="es-AR" w:bidi="es-AR"/>
        </w:rPr>
      </w:pPr>
      <w:r>
        <w:rPr>
          <w:lang w:val="es-AR" w:eastAsia="es-AR" w:bidi="es-AR"/>
        </w:rPr>
        <w:t xml:space="preserve">La parte actora replica y desestima cada uno de los agravios ensayados y solicita la confirmación del decisorio atacado.</w:t>
      </w:r>
    </w:p>
    <w:p>
      <w:pPr>
        <w:pStyle w:val="[Normal]"/>
        <w:spacing w:line="360" w:lineRule="auto"/>
        <w:ind w:firstLine="1134"/>
        <w:jc w:val="both"/>
        <w:rPr>
          <w:lang w:val="es-AR" w:eastAsia="es-AR" w:bidi="es-AR"/>
        </w:rPr>
      </w:pPr>
      <w:r>
        <w:rPr>
          <w:lang w:val="es-AR" w:eastAsia="es-AR" w:bidi="es-AR"/>
        </w:rPr>
        <w:t xml:space="preserve">En primer lugar, corresponde destacar, frente al pedido de la apelada en el escrito de contestación de los agravios, que la fundamentación del recurso presentada por el apoderado de la demandada, analizada con un criterio amplio por estar en juego el derecho de defensa en juicio, supera el test de admisibilidad por lo que no cabe declararla desierta (arts. 260 y 261  C.P.C.C. a contrario sensu).</w:t>
      </w:r>
    </w:p>
    <w:p>
      <w:pPr>
        <w:pStyle w:val="[Normal]"/>
        <w:spacing w:line="360" w:lineRule="auto"/>
        <w:ind w:firstLine="1134"/>
        <w:jc w:val="both"/>
        <w:rPr>
          <w:lang w:val="es-AR" w:eastAsia="es-AR" w:bidi="es-AR"/>
        </w:rPr>
      </w:pPr>
      <w:r>
        <w:rPr>
          <w:lang w:val="es-AR" w:eastAsia="es-AR" w:bidi="es-AR"/>
        </w:rPr>
        <w:t xml:space="preserve">Ya en tarea, he de adelantar que el planteo revisor ensayado no ha de tener favorable acogida.</w:t>
      </w:r>
    </w:p>
    <w:p>
      <w:pPr>
        <w:pStyle w:val="[Normal]"/>
        <w:spacing w:line="360" w:lineRule="auto"/>
        <w:ind w:firstLine="1134"/>
        <w:jc w:val="both"/>
        <w:rPr>
          <w:lang w:val="es-AR" w:eastAsia="es-AR" w:bidi="es-AR"/>
        </w:rPr>
      </w:pPr>
      <w:r>
        <w:rPr>
          <w:lang w:val="es-AR" w:eastAsia="es-AR" w:bidi="es-AR"/>
        </w:rPr>
        <w:t xml:space="preserve">Es que la posibilidad de exigir el pago de la fianza por la vía ejecutiva se halla subordinada a la circunstancia de que la obligación principal sea exigible por ese procedimiento (confr. Donato, Jorge, D. Juicio Ejecutivo, pág. 100, ed.1989; Morello-Sosa-Berizonce, CPCC com...T. VI-A, pág. 472, ed.1994) y "...si la deuda principal a que alude el escrito de demanda, y que no se reclama en autos no está documentada en forma tal que permita ejecutarla por el mismo andarivel procedimental, ello veda la posibilidad de motorizar en forma autónoma la ejecución de la fianza (arts. 518 y 542 inc. 4 Cód. Proc.).(Cám. Civ. y Com. Segunda, Sala1, LP causa B 79498 RSD 302/94).</w:t>
      </w:r>
    </w:p>
    <w:p>
      <w:pPr>
        <w:pStyle w:val="[Normal]"/>
        <w:spacing w:line="360" w:lineRule="auto"/>
        <w:ind w:firstLine="1134"/>
        <w:jc w:val="both"/>
        <w:rPr>
          <w:lang w:val="es-AR" w:eastAsia="es-AR" w:bidi="es-AR"/>
        </w:rPr>
      </w:pPr>
      <w:r>
        <w:rPr>
          <w:lang w:val="es-AR" w:eastAsia="es-AR" w:bidi="es-AR"/>
        </w:rPr>
        <w:t xml:space="preserve">La jurisprudencia, mayoritariamente se ha pronunciado acerca de la ejecutividad del contrato de fianza, destacando que por sí solo no constituye título ejecutivo en forma autónoma por lo tanto procede su ejecución cuando la deuda principal a la cual el contrato de garantía accede, está documentada en forma tal que es ejecutable por la vía compulsoria. (esta Cám. causa C-1806 RSD 52/96; Cám.Civ. y Com. Primera, Sala 1, MP causa130624 RSI 321/05; Cám. Civ. y Com. Primera, Sala 1, MP causa 130099 RSI 1922/04;Cám. Civ. y Com. Sala 1, SM causa 52304 RSD 309/03).</w:t>
      </w:r>
    </w:p>
    <w:p>
      <w:pPr>
        <w:pStyle w:val="[Normal]"/>
        <w:spacing w:line="360" w:lineRule="auto"/>
        <w:ind w:firstLine="1134"/>
        <w:jc w:val="both"/>
        <w:rPr>
          <w:i/>
          <w:lang w:val="es-AR" w:eastAsia="es-AR" w:bidi="es-AR"/>
        </w:rPr>
      </w:pPr>
      <w:r>
        <w:rPr>
          <w:lang w:val="es-AR" w:eastAsia="es-AR" w:bidi="es-AR"/>
        </w:rPr>
        <w:t xml:space="preserve">Como se dijera en la sentencia apelada, al efectuar el análisis de los documentos sobre los cuales recae la fianza suscripta y reconocida por la aquí ejecutada, esto es " </w:t>
      </w:r>
      <w:r>
        <w:rPr>
          <w:i/>
          <w:lang w:val="es-AR" w:eastAsia="es-AR" w:bidi="es-AR"/>
        </w:rPr>
        <w:t xml:space="preserve">el convenio de refinanciación de deuda en dólares y el saldo deudor de tarjeta de crédito para así poder determinar la procedencia o no del cobro de la fianza que aquí se ejecuta.  Es en dicho sentido que debo adelantar el rechazo de la excepción planteada por cuanto contrariamente a lo sostenido por la parte ejecutada, ambos documentos poseen obligaciones exigibles de dar cantidades líquidas de dinero (art. 518 CPCC) y además están comprendidos dentro de los títulos que traen aparejada ejecución (art. 521 inc. 4° y 7° CPCC), máxime que como ya se mencionara ut-supra la ejecutada (fiadora) no ha cuestionado en modo alguno el contrato de fianza suscripto, ni ha negado su responsabilidad como garante. "</w:t>
      </w:r>
    </w:p>
    <w:p>
      <w:pPr>
        <w:pStyle w:val="[Normal]"/>
        <w:spacing w:line="360" w:lineRule="auto"/>
        <w:ind w:firstLine="1134"/>
        <w:jc w:val="both"/>
        <w:rPr>
          <w:lang w:val="es-AR" w:eastAsia="es-AR" w:bidi="es-AR"/>
        </w:rPr>
      </w:pPr>
      <w:r>
        <w:rPr>
          <w:lang w:val="es-AR" w:eastAsia="es-AR" w:bidi="es-AR"/>
        </w:rPr>
        <w:t xml:space="preserve">Lo que pretende el apelante es volver sobre el mismo planteo que ya le fuera rechazado en la anterior instancia, no agregando nada nuevo al respecto, sino su mera disconformidad subjetiva sobre la interpretación que se fallara en sentencia anterior.-</w:t>
      </w:r>
    </w:p>
    <w:p>
      <w:pPr>
        <w:pStyle w:val="[Normal]"/>
        <w:spacing w:line="360" w:lineRule="auto"/>
        <w:ind w:firstLine="1134"/>
        <w:jc w:val="both"/>
        <w:rPr>
          <w:lang w:val="es-AR" w:eastAsia="es-AR" w:bidi="es-AR"/>
        </w:rPr>
      </w:pPr>
      <w:r>
        <w:rPr>
          <w:lang w:val="es-AR" w:eastAsia="es-AR" w:bidi="es-AR"/>
        </w:rPr>
        <w:t xml:space="preserve">Como lo señalé, no resulta necesario que en el contrato de fianza se hubiere pactado el "carácter de título ejecutivo" como erróneamente insiste la apelante, sino que son las obligaciones afianzadas las que le dan el carácter ejecutivo.</w:t>
      </w:r>
    </w:p>
    <w:p>
      <w:pPr>
        <w:pStyle w:val="[Normal]"/>
        <w:spacing w:line="360" w:lineRule="auto"/>
        <w:ind w:firstLine="1134"/>
        <w:jc w:val="both"/>
        <w:rPr>
          <w:lang w:val="es-AR" w:eastAsia="es-AR" w:bidi="es-AR"/>
        </w:rPr>
      </w:pPr>
      <w:r>
        <w:rPr>
          <w:lang w:val="es-AR" w:eastAsia="es-AR" w:bidi="es-AR"/>
        </w:rPr>
        <w:t xml:space="preserve">En los contratos de fianza que se adjuntaron en autos, expresamente se pactó que :"La presente fianza garantiza también las renovaciones totales o parciales que ese Banco acuerde a mi afianzado de los créditos, obligaciones u operaciones comprendidas en la presente garantía, la que se extiende también a los gastos. impuestos y demás accesorios que se originen por las mismas sin ser necesaria ni notificación ni consentimiento previo o posterior al otorgamiento de los nuevos plazos. renovaciones o prórrogas. Asimismo me someto a las condiciones establecidas en las solicitudes de crédito y/o resoluciones del Banco en la parte que comprenda a los fiadores las que declaro conocer y aceptar en todos sus términos."(cláusula "SÉPTIMA", del contrato agregado a Fs. 51/54 y "QUINTA" de fs. 58/59)</w:t>
      </w:r>
    </w:p>
    <w:p>
      <w:pPr>
        <w:pStyle w:val="[Normal]"/>
        <w:spacing w:line="360" w:lineRule="auto"/>
        <w:ind w:firstLine="1134"/>
        <w:jc w:val="both"/>
        <w:rPr>
          <w:lang w:val="es-AR" w:eastAsia="es-AR" w:bidi="es-AR"/>
        </w:rPr>
      </w:pPr>
      <w:r>
        <w:rPr>
          <w:lang w:val="es-AR" w:eastAsia="es-AR" w:bidi="es-AR"/>
        </w:rPr>
        <w:t xml:space="preserve">Las firmas de tales contratos fueron certificadas mediante acta notarial N° 149 y N° 279, y como señalé no fueron desconocidas por la ejecutada por lo cual y de acuerdo a la documental acompañada con la demanda, las obligaciones afianzadas (esto es convenio de refinanciación de deuda y saldo deudor de tarjeta de crédito), al tener también el carácter de títulos ejecutivos, la accesoriedad que expone el apelante no se ve afectada ni inhabilita la ejecución en el presente de la fianza objeto de la misma.</w:t>
      </w:r>
    </w:p>
    <w:p>
      <w:pPr>
        <w:pStyle w:val="[Normal]"/>
        <w:spacing w:line="360" w:lineRule="auto"/>
        <w:ind w:firstLine="1134"/>
        <w:jc w:val="both"/>
        <w:rPr>
          <w:lang w:val="es-AR" w:eastAsia="es-AR" w:bidi="es-AR"/>
        </w:rPr>
      </w:pPr>
      <w:r>
        <w:rPr>
          <w:lang w:val="es-AR" w:eastAsia="es-AR" w:bidi="es-AR"/>
        </w:rPr>
        <w:t xml:space="preserve">De tal forma que la fianza ejecutada en el presente, complementada por los instrumentos a los que he hecho mención precedentemente componen un título que habilita el reclamo de deuda exigible y liquida a su respecto también (Art. 518 del C.P.C.).</w:t>
      </w:r>
    </w:p>
    <w:p>
      <w:pPr>
        <w:pStyle w:val="[Normal]"/>
        <w:spacing w:line="360" w:lineRule="auto"/>
        <w:ind w:firstLine="1134"/>
        <w:jc w:val="both"/>
        <w:rPr>
          <w:lang w:val="es-AR" w:eastAsia="es-AR" w:bidi="es-AR"/>
        </w:rPr>
      </w:pPr>
      <w:r>
        <w:rPr>
          <w:lang w:val="es-AR" w:eastAsia="es-AR" w:bidi="es-AR"/>
        </w:rPr>
        <w:t xml:space="preserve">En lo que hace a los dos últimos agravios, por resultar idénticos a lo planteado en el expediente Nro.4141-20 caratulada "BANCO CREDICOOP COOPERATIVO LTDO. C/ ROJAS PABLO LUIS Y OTROS S/ COBRO EJECUTIVO" , donde mi colega Dr. Bernardo Louise, abordara el tema en su voto, al que adherí totalmente, me permito transcribir lo allí dicho, en orden a la economía procesal, por ser enteramente aplicable en la presente (sent. del  9 de marzo de 2021, Registro N° 14 /2021).-</w:t>
      </w:r>
    </w:p>
    <w:p>
      <w:pPr>
        <w:pStyle w:val="[Normal]"/>
        <w:spacing w:line="360" w:lineRule="auto"/>
        <w:ind w:firstLine="1134"/>
        <w:jc w:val="both"/>
        <w:rPr>
          <w:lang w:val="es-AR" w:eastAsia="es-AR" w:bidi="es-AR"/>
        </w:rPr>
      </w:pPr>
      <w:r>
        <w:rPr>
          <w:lang w:val="es-AR" w:eastAsia="es-AR" w:bidi="es-AR"/>
        </w:rPr>
        <w:t xml:space="preserve">En efecto, allí el distinguido colega dijo: "</w:t>
      </w:r>
      <w:r>
        <w:rPr>
          <w:i/>
          <w:lang w:val="es-AR" w:eastAsia="es-AR" w:bidi="es-AR"/>
        </w:rPr>
        <w:t xml:space="preserve">Tampoco lleva razón el apelante en relación al segmento del fallo que determinó los intereses, ello por cuanto los fijados han sido los pactados y sabido es que el contrato como sus cláusulas es ley para las partes, se interpretan, ejecutan de buena fe y nacen para ser  cumplidos. ( arts. 958,  959, 961  C.C.C.). Desde esta base fondal, resulta ajustado a derecho lo expuesto por el Sr. juez de grado, ordenando  estarse a lo pactado dejando a salvo la facultad morigeradora para cuando en el caso de practicarse liquidación definitiva, el resultado sea violatorio del orden público o la moral ( arts. 10 y 279 C.C.C.). Es decir que lo decidido se fundamentó en la ley  general y en la particular que es el contrato entre las partes, máxime que al tiempo del dictado de la sentencia, no resulta oportuno practicar liquidación alguna y entonces lo pretendido era resolver en hipótesis lo que está vedado a la Judicatura. Finalmente tampoco ha de recibirse el último de los agravios relativo a la inaplicabilidad de la teoría de la imprevisión por la naturaleza del presente trámite, en tanto la parte puede, conforme la normativa fondal, plantearlo tanto como acción como por excepción. Cierto es que el art. 1091 del C.C.C., ( 1198 C.C.)  establece "...  Imprevisión: Si en un contrato conmutativo de ejecución diferida o permanente, la prestación a cargo de una de las partes se torna excesivamente onerosa, por una alteración extraordinaria de las circunstancias existentes al tiempo de su celebración, sobrevenida por causas ajenas a las partes y al riesgo asumido por la que es afectada, ésta tiene derecho a plantear extrajudicialmente, o pedir ante un juez, por acción o como excepción, la resolución total o parcial del contrato, o su adecuación. Igual regla se aplica al tercero a quien le han sido conferidos derechos, o asignadas obligaciones, resultantes del contrato; y al contrato aleatorio si la prestación se torna excesivamente onerosa por causas extrañas a su álea propia...". ( el subrayado me pertenece ). Empero de una lectura literal del artículo, sin hesitación se observa que la facultad de peticionar al juez ya sea la  resolución total o parcial o adecuación del contrato por vía de acción o de excepción, refiere a  un contrato y por la naturaleza y particularidad del planteo requiere de un proceso de conocimiento amplio ajeno al acotado marco cognocitivo del presente procedimiento  ejecutivo. Tal como se dijera ut supra, los contratos se celebran, se interpretan, se ejecutan de buena fe y "... nacen para ser cumplidos... ( Spota Alberto, Leiva Fernadez: " Instituciones de Derecho Civil, Contratos, L.L. Buenos Aires, 2009 T. III. núm. 741, pág. 737 ) y la pretensión que la legislación le otorga al contratante requiere de un amplio debate, dado que una resolución favorable importa dejar sin efecto uno de los principios rectores que rige la materia contractual que es el de la conservación de los actos jurídicos. La seguridad del tráfico comercial, basado en la presunción de la buena fe contractual,  requiere de un proceso de conocimiento amplio que otorgue certezas y seguridades para no afectar sus bases. Tal seguridad se vería seriamente cuestionada, cuando como en el caso con una simple descripción objetiva, sin prueba alguna se ponga fin o se readecúe un contrato que, vale reiterar, nació  para ser cumplido. Ello ha sido receptado jurisprudencialmente al decir que "... La invocación del art. 1198 del Código Civil puede hacerse solamente en procesos que permitan adentrarse en el estudio y conocimiento de la causa de la obligación, para así poder juzgar la conducta de los contratantes, cosa que no se puede realizar dentro del estrecho marco del juicio ejecutivo..." ( Sumario del fallo 6  de Marzo de 1990 Id SAIJ: SUB0350316 ). "... No puede dejar de tenerse en cuenta que en el ámbito de la ejecución hipotecaria no cabe discutir los términos de la escritura de constitución y para considerar la viabilidad del resorte regulado por el artículo 1198 del Código Civil, es preciso analizar todo lo concerniente al contrato que subyace, lo que resulta inviable en esta clase de juicio abreviado, sin perjuicio de su planteamiento en juicio de conocimiento..."  (CC0201 LP 100661 RSD-172-5 S 18/08/2005 )</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Por las razones dadas, citas legales de referencia,</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Graciela Scaraffia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Rechazar el recurso de apelación interpuesto y en consecuencia confirmar la sentencia de la anterior instancia en todas sus partes.</w:t>
      </w:r>
    </w:p>
    <w:p>
      <w:pPr>
        <w:pStyle w:val="[Normal]"/>
        <w:spacing w:line="360" w:lineRule="auto"/>
        <w:ind w:firstLine="1134"/>
        <w:jc w:val="both"/>
        <w:rPr>
          <w:lang w:val="es-AR" w:eastAsia="es-AR" w:bidi="es-AR"/>
        </w:rPr>
      </w:pPr>
      <w:r>
        <w:rPr>
          <w:lang w:val="es-AR" w:eastAsia="es-AR" w:bidi="es-AR"/>
        </w:rPr>
        <w:t xml:space="preserve">Costas a la apelante que resulta vencida (Art. 68 del C.P.C. y C.).-</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Graciela Scaraffia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Rechazar el recurso de apelación interpuesto y en consecuencia confirmar la sentencia de la anterior instancia en todas sus partes.</w:t>
      </w:r>
    </w:p>
    <w:p>
      <w:pPr>
        <w:pStyle w:val="[Normal]"/>
        <w:spacing w:line="360" w:lineRule="auto"/>
        <w:ind w:firstLine="1134"/>
        <w:jc w:val="both"/>
        <w:rPr>
          <w:lang w:val="es-AR" w:eastAsia="es-AR" w:bidi="es-AR"/>
        </w:rPr>
      </w:pPr>
      <w:r>
        <w:rPr>
          <w:lang w:val="es-AR" w:eastAsia="es-AR" w:bidi="es-AR"/>
        </w:rPr>
        <w:t xml:space="preserve">Costas a la apelante que resulta vencida (Art. 68 del C.P.C. y C.).-</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rPr>
          <w:color w:val="000000"/>
          <w:lang w:val="es-AR" w:eastAsia="es-AR" w:bidi="es-AR"/>
        </w:rPr>
      </w:pPr>
      <w:r>
        <w:rPr>
          <w:color w:val="000000"/>
          <w:lang w:val="es-AR" w:eastAsia="es-AR" w:bidi="es-AR"/>
        </w:rPr>
        <w:t xml:space="preserve">23261843439@NOTIFICACIONES.SCBA.GOV.AR</w:t>
      </w:r>
    </w:p>
    <w:p>
      <w:pPr>
        <w:pStyle w:val="[Normal]"/>
        <w:rPr>
          <w:color w:val="000000"/>
          <w:lang w:val="es-AR" w:eastAsia="es-AR" w:bidi="es-AR"/>
        </w:rPr>
      </w:pPr>
      <w:r>
        <w:rPr>
          <w:color w:val="000000"/>
          <w:lang w:val="es-AR" w:eastAsia="es-AR" w:bidi="es-AR"/>
        </w:rPr>
        <w:t xml:space="preserve">27300896621@BAPRO.NOTIFICACIONES</w:t>
      </w:r>
    </w:p>
    <w:p>
      <w:pPr>
        <w:pStyle w:val="[Normal]"/>
        <w:rPr>
          <w:color w:val="000000"/>
          <w:lang w:val="es-AR" w:eastAsia="es-AR" w:bidi="es-AR"/>
        </w:rPr>
      </w:pPr>
      <w:r>
        <w:rPr>
          <w:color w:val="000000"/>
          <w:lang w:val="es-AR" w:eastAsia="es-AR" w:bidi="es-AR"/>
        </w:rPr>
        <w:t xml:space="preserve">20209887070@NOTIFICACIONES.SCBA.GOV.AR</w:t>
      </w: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30/03/2021 09:56:23 -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30/03/2021 10:11:09 -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30/03/2021 10:23:05 -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30/03/2021 10:44:22 -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20209887070@NOTIFICACIONES.SCBA.GOV.AR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23261843439@NOTIFICACIONES.SCBA.GOV.AR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27300896621@BAPRO.NOTIFICACIONES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‰7ƒ")è%(`2‚Š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239902090005086418</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4147 - 20 - BANCO DE LA PROVINCIA DE BUENOS AIRES  C/ MIGUENS AURELIA MARIA S/ COBRO EJECUTIVO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‰7ƒ")è%(`2‚Š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239902090005086418</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