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rPr>
          <w:lang w:val="es-AR" w:eastAsia="es-AR" w:bidi="es-AR"/>
        </w:rPr>
      </w:pPr>
    </w:p>
    <w:p>
      <w:pPr>
        <w:pStyle w:val="[Normal]"/>
        <w:spacing w:line="360" w:lineRule="auto"/>
        <w:rPr>
          <w:lang w:val="es-AR" w:eastAsia="es-AR" w:bidi="es-AR"/>
        </w:rPr>
      </w:pPr>
      <w:r>
        <w:rPr>
          <w:b/>
          <w:lang w:val="es-AR" w:eastAsia="es-AR" w:bidi="es-AR"/>
        </w:rPr>
        <w:t xml:space="preserve">	Registro N° 31/</w:t>
      </w:r>
      <w:r>
        <w:rPr>
          <w:b/>
          <w:color w:val="000000"/>
          <w:lang w:val="es-AR" w:eastAsia="es-AR" w:bidi="es-AR"/>
        </w:rPr>
        <w:t xml:space="preserve">2021</w:t>
      </w:r>
      <w:r>
        <w:rPr>
          <w:color w:val="000000"/>
          <w:lang w:val="es-AR" w:eastAsia="es-AR" w:bidi="es-AR"/>
        </w:rPr>
        <w:t xml:space="preserve"> </w:t>
      </w:r>
    </w:p>
    <w:p>
      <w:pPr>
        <w:pStyle w:val="[Normal]"/>
        <w:spacing w:line="360" w:lineRule="auto"/>
        <w:jc w:val="both"/>
        <w:rPr>
          <w:lang w:val="es-AR" w:eastAsia="es-AR" w:bidi="es-AR"/>
        </w:rPr>
      </w:pPr>
      <w:r>
        <w:rPr>
          <w:lang w:val="es-AR" w:eastAsia="es-AR" w:bidi="es-AR"/>
        </w:rPr>
        <w:t xml:space="preserve">	</w:t>
      </w:r>
      <w:r>
        <w:rPr>
          <w:b/>
          <w:lang w:val="es-AR" w:eastAsia="es-AR" w:bidi="es-AR"/>
        </w:rPr>
        <w:t xml:space="preserve">Folio 157/160</w:t>
      </w:r>
    </w:p>
    <w:p>
      <w:pPr>
        <w:pStyle w:val="[Normal]"/>
        <w:spacing w:line="360" w:lineRule="auto"/>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el 30 de marzo de </w:t>
      </w:r>
      <w:r>
        <w:rPr>
          <w:color w:val="000000"/>
          <w:lang w:val="es-AR" w:eastAsia="es-AR" w:bidi="es-AR"/>
        </w:rPr>
        <w:t xml:space="preserve">2021</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4172-21</w:t>
      </w:r>
      <w:r>
        <w:rPr>
          <w:lang w:val="es-AR" w:eastAsia="es-AR" w:bidi="es-AR"/>
        </w:rPr>
        <w:t xml:space="preserve"> caratulada </w:t>
      </w:r>
      <w:r>
        <w:rPr>
          <w:b/>
          <w:lang w:val="es-AR" w:eastAsia="es-AR" w:bidi="es-AR"/>
        </w:rPr>
        <w:t xml:space="preserve">"</w:t>
      </w:r>
      <w:r>
        <w:rPr>
          <w:b/>
          <w:color w:val="000000"/>
          <w:lang w:val="es-AR" w:eastAsia="es-AR" w:bidi="es-AR"/>
        </w:rPr>
        <w:t xml:space="preserve">PARDO SA  C/ ROLDAN GRISELDA S/ COBRO EJECUTIVO</w:t>
      </w:r>
      <w:r>
        <w:rPr>
          <w:b/>
          <w:lang w:val="es-AR" w:eastAsia="es-AR" w:bidi="es-AR"/>
        </w:rPr>
        <w:t xml:space="preserve">"</w:t>
      </w:r>
      <w:r>
        <w:rPr>
          <w:lang w:val="es-AR" w:eastAsia="es-AR" w:bidi="es-AR"/>
        </w:rPr>
        <w:t xml:space="preserve">, Expte Nro. 75423 del </w:t>
      </w:r>
      <w:r>
        <w:rPr>
          <w:color w:val="000000"/>
          <w:lang w:val="es-AR" w:eastAsia="es-AR" w:bidi="es-AR"/>
        </w:rPr>
        <w:t xml:space="preserve">Juzgado en lo Civil y Comercial N° 1</w:t>
      </w:r>
      <w:r>
        <w:rPr>
          <w:lang w:val="es-AR" w:eastAsia="es-AR" w:bidi="es-AR"/>
        </w:rPr>
        <w:t xml:space="preserve">, se practicó el sorteo de ley que determinó que la votación debía efectuarse en el siguiente orden: Bernardo Louise, Graciela Scaraffía y Roberto Manuel Degleue, y estudiados los autos se resolvió  plantear y votar las siguientes: </w:t>
      </w:r>
    </w:p>
    <w:p>
      <w:pPr>
        <w:pStyle w:val="[Normal]"/>
        <w:spacing w:line="360" w:lineRule="auto"/>
        <w:ind w:firstLine="1134"/>
        <w:jc w:val="both"/>
        <w:rPr>
          <w:lang w:val="es-AR" w:eastAsia="es-AR" w:bidi="es-AR"/>
        </w:rPr>
      </w:pPr>
      <w:r>
        <w:rPr>
          <w:u w:val="single"/>
          <w:lang w:val="es-AR" w:eastAsia="es-AR" w:bidi="es-AR"/>
        </w:rPr>
        <w:t xml:space="preserve">C U E S T I O N E S:</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el  señor Juez </w:t>
      </w:r>
      <w:r>
        <w:rPr>
          <w:color w:val="000000"/>
          <w:lang w:val="es-AR" w:eastAsia="es-AR" w:bidi="es-AR"/>
        </w:rPr>
        <w:t xml:space="preserve">Bernardo Louise</w:t>
      </w:r>
      <w:r>
        <w:rPr>
          <w:lang w:val="es-AR" w:eastAsia="es-AR" w:bidi="es-AR"/>
        </w:rPr>
        <w:t xml:space="preserve"> dijo:</w:t>
      </w:r>
    </w:p>
    <w:p>
      <w:pPr>
        <w:pStyle w:val="[Normal]"/>
        <w:spacing w:line="360" w:lineRule="auto"/>
        <w:ind w:firstLine="1134"/>
        <w:jc w:val="both"/>
        <w:rPr>
          <w:lang w:val="es-AR" w:eastAsia="es-AR" w:bidi="es-AR"/>
        </w:rPr>
      </w:pPr>
      <w:r>
        <w:rPr>
          <w:lang w:val="es-AR" w:eastAsia="es-AR" w:bidi="es-AR"/>
        </w:rPr>
        <w:t xml:space="preserve">El Sr. Juez de la instancia anterior, luego de enumerar los requisitos que el art. 2 de la Ley 24.760 exige a la factura de crédito, dice que la omisión de cualquiera de ellos produce la inhabilidad de la  misma a todos los efectos del régimen previsto en el mismo texto legal. Y, en el entendimiento que las facturas acompañadas en autos no constituyen ni tienen los efectos de los títulos ejecutables (Art. 521 CPCC), al no reunir acabadamente los recaudos establecidos en el art. 2° de la ley 24.760, sin que ello pueda ser salvado mediante la preparación  de  la  vía ejecutiva (Art. 523 CPCC), rechazó  "in  limine" la acción incoada (Art. 529 CPC.), con costas a cargo de la parte ejecutante (art. 556 del C.P.C. ) y reguló los honorarios de la  Dra. Coralini Silvina.</w:t>
      </w:r>
    </w:p>
    <w:p>
      <w:pPr>
        <w:pStyle w:val="[Normal]"/>
        <w:spacing w:line="360" w:lineRule="auto"/>
        <w:ind w:firstLine="1134"/>
        <w:jc w:val="both"/>
        <w:rPr>
          <w:lang w:val="es-AR" w:eastAsia="es-AR" w:bidi="es-AR"/>
        </w:rPr>
      </w:pPr>
      <w:r>
        <w:rPr>
          <w:lang w:val="es-AR" w:eastAsia="es-AR" w:bidi="es-AR"/>
        </w:rPr>
        <w:t xml:space="preserve">Contra dicha sentencia, la parte actora en fecha 01 / 02 / 2021, interpone recurso de revisión y apelación en subsidio y desestimado el primero de ellos, concede el segundo. Arribados los autos a esta instancia, en fecha 18 / 02 / 2021 se llaman para resolver, providencia que firme a la fecha deja a la causa en condiciones de ser fallada ( arts. 168 y 170 Const. Prov. Bs. As.).</w:t>
      </w:r>
    </w:p>
    <w:p>
      <w:pPr>
        <w:pStyle w:val="[Normal]"/>
        <w:spacing w:line="360" w:lineRule="auto"/>
        <w:ind w:firstLine="1134"/>
        <w:jc w:val="both"/>
        <w:rPr>
          <w:b/>
          <w:lang w:val="es-AR" w:eastAsia="es-AR" w:bidi="es-AR"/>
        </w:rPr>
      </w:pPr>
      <w:r>
        <w:rPr>
          <w:b/>
          <w:lang w:val="es-AR" w:eastAsia="es-AR" w:bidi="es-AR"/>
        </w:rPr>
        <w:t xml:space="preserve">Agravios de la actora: </w:t>
      </w:r>
    </w:p>
    <w:p>
      <w:pPr>
        <w:pStyle w:val="[Normal]"/>
        <w:spacing w:line="360" w:lineRule="auto"/>
        <w:ind w:firstLine="1134"/>
        <w:jc w:val="both"/>
        <w:rPr>
          <w:lang w:val="es-AR" w:eastAsia="es-AR" w:bidi="es-AR"/>
        </w:rPr>
      </w:pPr>
      <w:r>
        <w:rPr>
          <w:lang w:val="es-AR" w:eastAsia="es-AR" w:bidi="es-AR"/>
        </w:rPr>
        <w:t xml:space="preserve">Primeramente, dice de las facultades de la judicatura y de los deberes que posee para analizar el título base de la ejecución pero entiende que ello debe ser equilibrado e imparcial y denuncia las causas en las cuales los otros juzgados de este Dpto. Judicial, en casos como el presente, han resuelto preparar la vía ejecutiva aún cuando la factura de crédito siendo título ejecutivo no requiere la preparación de la vía. Que aún así, su parte a fin de evitar inconvenientes decide transitar la preparación previa.</w:t>
      </w:r>
    </w:p>
    <w:p>
      <w:pPr>
        <w:pStyle w:val="[Normal]"/>
        <w:spacing w:line="360" w:lineRule="auto"/>
        <w:ind w:firstLine="1134"/>
        <w:jc w:val="both"/>
        <w:rPr>
          <w:lang w:val="es-AR" w:eastAsia="es-AR" w:bidi="es-AR"/>
        </w:rPr>
      </w:pPr>
      <w:r>
        <w:rPr>
          <w:lang w:val="es-AR" w:eastAsia="es-AR" w:bidi="es-AR"/>
        </w:rPr>
        <w:t xml:space="preserve">Luego de ello, dice que la resolución atacada la agravia, por ser arbitraria, contraria a derecho causándole incertidumbre jurídica atento la actuación, como se dijo, de los otros juzgados del mismo fuero que transcribe.</w:t>
      </w:r>
    </w:p>
    <w:p>
      <w:pPr>
        <w:pStyle w:val="[Normal]"/>
        <w:spacing w:line="360" w:lineRule="auto"/>
        <w:ind w:firstLine="1134"/>
        <w:jc w:val="both"/>
        <w:rPr>
          <w:lang w:val="es-AR" w:eastAsia="es-AR" w:bidi="es-AR"/>
        </w:rPr>
      </w:pPr>
      <w:r>
        <w:rPr>
          <w:lang w:val="es-AR" w:eastAsia="es-AR" w:bidi="es-AR"/>
        </w:rPr>
        <w:t xml:space="preserve">Seguidamente, en forma puntual refiere a cada uno de los requisitos que exige la norma y los individualiza en las facturas que acompaña y funda la pretensión, por lo que concluye que su parte ha cumplimentado con la norma legal y con ello la decisión del rechazo "</w:t>
      </w:r>
      <w:r>
        <w:rPr>
          <w:i/>
          <w:lang w:val="es-AR" w:eastAsia="es-AR" w:bidi="es-AR"/>
        </w:rPr>
        <w:t xml:space="preserve"> in límine</w:t>
      </w:r>
      <w:r>
        <w:rPr>
          <w:lang w:val="es-AR" w:eastAsia="es-AR" w:bidi="es-AR"/>
        </w:rPr>
        <w:t xml:space="preserve"> " deviene arbitraria. Solicita que oportunamente se revoque.</w:t>
      </w:r>
    </w:p>
    <w:p>
      <w:pPr>
        <w:pStyle w:val="[Normal]"/>
        <w:spacing w:line="360" w:lineRule="auto"/>
        <w:ind w:firstLine="1134"/>
        <w:jc w:val="both"/>
        <w:rPr>
          <w:lang w:val="es-AR" w:eastAsia="es-AR" w:bidi="es-AR"/>
        </w:rPr>
      </w:pPr>
      <w:r>
        <w:rPr>
          <w:lang w:val="es-AR" w:eastAsia="es-AR" w:bidi="es-AR"/>
        </w:rPr>
        <w:t xml:space="preserve">En tarea de decidir, luego de ponderar los términos del escrito de inicio, documentación acompañada, sentencia atacada y los agravios vertidos, soy de opinión que lleva razón la impugnante, pero por otros fundamentos.</w:t>
      </w:r>
    </w:p>
    <w:p>
      <w:pPr>
        <w:pStyle w:val="[Normal]"/>
        <w:spacing w:line="360" w:lineRule="auto"/>
        <w:ind w:firstLine="1134"/>
        <w:jc w:val="both"/>
        <w:rPr>
          <w:lang w:val="es-AR" w:eastAsia="es-AR" w:bidi="es-AR"/>
        </w:rPr>
      </w:pPr>
      <w:r>
        <w:rPr>
          <w:lang w:val="es-AR" w:eastAsia="es-AR" w:bidi="es-AR"/>
        </w:rPr>
        <w:t xml:space="preserve">A modo de síntesis, el agravio podemos segmentarlo en dos partes diferenciadas, una refiere a la inseguridad que manifiesta  la apelante frente a pronunciamientos diferentes en otros juzgados de este Dpto. Judicial por el mismo tema, respecto de lo cual nada se puede decir toda vez que ello, de ser así, reposa en la actuación de cada juez frente a una presentación y sus respectivos elementos de prueba, lo que no es vinculante para este Tribunal.</w:t>
      </w:r>
    </w:p>
    <w:p>
      <w:pPr>
        <w:pStyle w:val="[Normal]"/>
        <w:spacing w:line="360" w:lineRule="auto"/>
        <w:ind w:firstLine="1134"/>
        <w:jc w:val="both"/>
        <w:rPr>
          <w:lang w:val="es-AR" w:eastAsia="es-AR" w:bidi="es-AR"/>
        </w:rPr>
      </w:pPr>
      <w:r>
        <w:rPr>
          <w:lang w:val="es-AR" w:eastAsia="es-AR" w:bidi="es-AR"/>
        </w:rPr>
        <w:t xml:space="preserve">Y, en relación al agravio fundado en el cumplimiento por parte de la apelante de los requisitos exigidos por la ley 24. 760, primeramente  debe dejarse aclarado que el juez, al recibir la demanda por imperio legal, debe realizar un análisis preliminar del título que de ningún modo viola el principio de congruencia ( conf. doct. art. 529 CPCC), por cuanto sin título no hay juicio ( art. 518 del CPC.).</w:t>
      </w:r>
    </w:p>
    <w:p>
      <w:pPr>
        <w:pStyle w:val="[Normal]"/>
        <w:spacing w:line="360" w:lineRule="auto"/>
        <w:ind w:firstLine="1134"/>
        <w:jc w:val="both"/>
        <w:rPr>
          <w:lang w:val="es-AR" w:eastAsia="es-AR" w:bidi="es-AR"/>
        </w:rPr>
      </w:pPr>
      <w:r>
        <w:rPr>
          <w:lang w:val="es-AR" w:eastAsia="es-AR" w:bidi="es-AR"/>
        </w:rPr>
        <w:t xml:space="preserve">Constituyen título hábil para promover la ejecución -previo reconocimiento de la firma por parte del deudor- todos aquellos instrumentos firmados por los cuales conste el reconocimiento de una deuda líquida y exigible y que no requieran una interpretación incompatible con la limitación de conocimiento que es propia del proceso ejecutivo (CNCom., sala A, 07.10.1983, “Finvercon SA c. Giardino, Gerónimo”, Ed. 107-222; CNCom., sala A, 14.02.1985, “Rodríguez, Ricardo V. c. Telam S.A.”, LL 1985-B, 163 – DJ, 985-33-95; CNCom., sala C, 09.12.1994, “Banco Central c. Rodríguez, Juan de Dios”, LL 1995-C, 687).</w:t>
      </w:r>
    </w:p>
    <w:p>
      <w:pPr>
        <w:pStyle w:val="[Normal]"/>
        <w:spacing w:line="360" w:lineRule="auto"/>
        <w:ind w:firstLine="1134"/>
        <w:jc w:val="both"/>
        <w:rPr>
          <w:i/>
          <w:lang w:val="es-AR" w:eastAsia="es-AR" w:bidi="es-AR"/>
        </w:rPr>
      </w:pPr>
      <w:r>
        <w:rPr>
          <w:lang w:val="es-AR" w:eastAsia="es-AR" w:bidi="es-AR"/>
        </w:rPr>
        <w:t xml:space="preserve">Las presentes actuaciones, se inician solicitando a la jurisdicción "... </w:t>
      </w:r>
      <w:r>
        <w:rPr>
          <w:i/>
          <w:lang w:val="es-AR" w:eastAsia="es-AR" w:bidi="es-AR"/>
        </w:rPr>
        <w:t xml:space="preserve">la preparación de la vía ejecutiva para demandar a la Sra. ROLDAN, GRISELDA, ,...,  y a estos efectos solicito que se cite a la parte demandada en los términos del art. 523 CPCC sgts. y ccs., por el plazo de ley para que comparezca personalmente al Juzgado a reconocer la firma que se le atribuye, bajo apercibimiento de tenerse por reconocido el documento en caso de no comparecer sin justa causa o no contestar categóricamente...".</w:t>
      </w:r>
    </w:p>
    <w:p>
      <w:pPr>
        <w:pStyle w:val="[Normal]"/>
        <w:spacing w:line="360" w:lineRule="auto"/>
        <w:ind w:firstLine="1134"/>
        <w:jc w:val="both"/>
        <w:rPr>
          <w:i/>
          <w:lang w:val="es-AR" w:eastAsia="es-AR" w:bidi="es-AR"/>
        </w:rPr>
      </w:pPr>
      <w:r>
        <w:rPr>
          <w:lang w:val="es-AR" w:eastAsia="es-AR" w:bidi="es-AR"/>
        </w:rPr>
        <w:t xml:space="preserve">En autos, la parte ejecutante pretende ejecutar dos facturas, en la que se da cuenta de la adquisición de mercadería, monto de la misma, cantidad de cuotas, financiamiento del saldo y demás características de operación de compra a crédito.</w:t>
      </w:r>
    </w:p>
    <w:p>
      <w:pPr>
        <w:pStyle w:val="[Normal]"/>
        <w:spacing w:line="360" w:lineRule="auto"/>
        <w:ind w:firstLine="1134"/>
        <w:jc w:val="both"/>
        <w:rPr>
          <w:lang w:val="es-AR" w:eastAsia="es-AR" w:bidi="es-AR"/>
        </w:rPr>
      </w:pPr>
      <w:r>
        <w:rPr>
          <w:lang w:val="es-AR" w:eastAsia="es-AR" w:bidi="es-AR"/>
        </w:rPr>
        <w:t xml:space="preserve">El juzgador de origen, haciendo uso de la facultad de analizar previamente los documentos  base de la ejecución,  el examen  lo hace a la luz de la ley 24.760 que regula la llamada </w:t>
      </w:r>
      <w:r>
        <w:rPr>
          <w:i/>
          <w:lang w:val="es-AR" w:eastAsia="es-AR" w:bidi="es-AR"/>
        </w:rPr>
        <w:t xml:space="preserve">factura de crédito</w:t>
      </w:r>
      <w:r>
        <w:rPr>
          <w:lang w:val="es-AR" w:eastAsia="es-AR" w:bidi="es-AR"/>
        </w:rPr>
        <w:t xml:space="preserve"> y llega a la conclusión apelada, esto es la falta de cumplimiento de los requisitos exigidos por la norma y con ello la desestimación de la pretensión de inicio.</w:t>
      </w:r>
    </w:p>
    <w:p>
      <w:pPr>
        <w:pStyle w:val="[Normal]"/>
        <w:spacing w:line="360" w:lineRule="auto"/>
        <w:ind w:firstLine="1134"/>
        <w:jc w:val="both"/>
        <w:rPr>
          <w:i/>
          <w:lang w:val="es-AR" w:eastAsia="es-AR" w:bidi="es-AR"/>
        </w:rPr>
      </w:pPr>
      <w:r>
        <w:rPr>
          <w:lang w:val="es-AR" w:eastAsia="es-AR" w:bidi="es-AR"/>
        </w:rPr>
        <w:t xml:space="preserve">En este contexto se advierte dócilmente que el sentenciante de grado luego de citar los requisitos legales que requiere la factura de crédito y exponer que su omisión importa inhabilitar el documento a los efectos de la ley 24. 760 ( arts. 2 y 3 ), concluye</w:t>
      </w:r>
      <w:r>
        <w:rPr>
          <w:i/>
          <w:lang w:val="es-AR" w:eastAsia="es-AR" w:bidi="es-AR"/>
        </w:rPr>
        <w:t xml:space="preserve"> "...  Que, dicho lo precedente considero que las facturas acompañadas en autos no constituyen ni tienen los efectos de los títulos ejecutables (Art. 521 CPCC), al no reunir acabadamente los recaudos establecidos en el art. 2° de la ley 24.760, sin que ello pueda ser salvado mediante la preparación  de  la  vía ejecutiva (Art. 523 CPCC)...".</w:t>
      </w:r>
    </w:p>
    <w:p>
      <w:pPr>
        <w:pStyle w:val="[Normal]"/>
        <w:spacing w:line="360" w:lineRule="auto"/>
        <w:ind w:firstLine="1134"/>
        <w:jc w:val="both"/>
        <w:rPr>
          <w:lang w:val="es-AR" w:eastAsia="es-AR" w:bidi="es-AR"/>
        </w:rPr>
      </w:pPr>
      <w:r>
        <w:rPr>
          <w:lang w:val="es-AR" w:eastAsia="es-AR" w:bidi="es-AR"/>
        </w:rPr>
        <w:t xml:space="preserve">Más allá de omitir el juzgador decir cuales son  los requisitos  de la ley 24.760 que  no se hallan explicitados, coincido con  ello toda vez que se ha violentado el art. 1 en tanto establece que: "... En todo contrato en que alguna de las partes está obligada, en virtud de aquél, a emitir factura y que reúna todas las características que a continuación se indican, deberá emitirse un título valor denominado "factura de crédito"...".</w:t>
      </w:r>
    </w:p>
    <w:p>
      <w:pPr>
        <w:pStyle w:val="[Normal]"/>
        <w:spacing w:line="360" w:lineRule="auto"/>
        <w:ind w:firstLine="1134"/>
        <w:jc w:val="both"/>
        <w:rPr>
          <w:lang w:val="es-AR" w:eastAsia="es-AR" w:bidi="es-AR"/>
        </w:rPr>
      </w:pPr>
      <w:r>
        <w:rPr>
          <w:lang w:val="es-AR" w:eastAsia="es-AR" w:bidi="es-AR"/>
        </w:rPr>
        <w:t xml:space="preserve">De ello se infiere, que la factura de crédito se emite en virtud de la factura a la que accede y ello, se condice con la obligación legal del instrumento  que debe lleve impreso el título "</w:t>
      </w:r>
      <w:r>
        <w:rPr>
          <w:i/>
          <w:lang w:val="es-AR" w:eastAsia="es-AR" w:bidi="es-AR"/>
        </w:rPr>
        <w:t xml:space="preserve"> factura de crédito</w:t>
      </w:r>
      <w:r>
        <w:rPr>
          <w:lang w:val="es-AR" w:eastAsia="es-AR" w:bidi="es-AR"/>
        </w:rPr>
        <w:t xml:space="preserve"> ", tal como lo determina el inc. a ) del art. 2</w:t>
      </w:r>
      <w:r>
        <w:rPr>
          <w:b/>
          <w:lang w:val="es-AR" w:eastAsia="es-AR" w:bidi="es-AR"/>
        </w:rPr>
        <w:t xml:space="preserve"> </w:t>
      </w:r>
      <w:r>
        <w:rPr>
          <w:lang w:val="es-AR" w:eastAsia="es-AR" w:bidi="es-AR"/>
        </w:rPr>
        <w:t xml:space="preserve">del mismo texto legal.  Es decir que el título ejecutivo, es una derivación de la factura primera. Consecuencia de ello es que en el inc. h) del mismo artículo establece como requisito: "... Identificación del número de la factura o documento equivalente que dio origen a la emisión de la factura de crédito...",  lo que no se halla cumplido en nuestro caso.</w:t>
      </w:r>
    </w:p>
    <w:p>
      <w:pPr>
        <w:pStyle w:val="[Normal]"/>
        <w:spacing w:line="360" w:lineRule="auto"/>
        <w:ind w:firstLine="1134"/>
        <w:jc w:val="both"/>
        <w:rPr>
          <w:lang w:val="es-AR" w:eastAsia="es-AR" w:bidi="es-AR"/>
        </w:rPr>
      </w:pPr>
      <w:r>
        <w:rPr>
          <w:lang w:val="es-AR" w:eastAsia="es-AR" w:bidi="es-AR"/>
        </w:rPr>
        <w:t xml:space="preserve">La importancia de la denominación de la obligación que asume el firmante es propia de los papeles de comercio en la que el Legislador a través de esta imposición advierte al firmante a lo que se somete. ( ver en tal sentido:  Pedro F. Gutierrez: " Factura de Crédito " p. 41 ).</w:t>
      </w:r>
    </w:p>
    <w:p>
      <w:pPr>
        <w:pStyle w:val="[Normal]"/>
        <w:spacing w:line="360" w:lineRule="auto"/>
        <w:ind w:firstLine="1134"/>
        <w:jc w:val="both"/>
        <w:rPr>
          <w:lang w:val="es-AR" w:eastAsia="es-AR" w:bidi="es-AR"/>
        </w:rPr>
      </w:pPr>
      <w:r>
        <w:rPr>
          <w:lang w:val="es-AR" w:eastAsia="es-AR" w:bidi="es-AR"/>
        </w:rPr>
        <w:t xml:space="preserve">De esta naturaleza de título mercantíl, deviene que el nombre o denominación " Factura de Crédito " estampado en el título sea una obligación esencial e imprescindible y le sean aplicables  los mismos fundamentos de otros títulos en que la ley impone  la misma obligación de  insertar el título de la cambial que se trate. Ello, es así  por cuanto  constituye  "... un llamado de atención para que quien estampe su firma en él tenga conciencia del rigor - formal, sustancial, procesal - al cual quedará sometida la obligación que asume. Tal denominación no admite sinónimos ni expresiones sustitutas, ..., debe integrar el título y estar escrita  en el mismo idioma en que la letra ha sido redactada... " ( cfr.  Gómez Leo: Manual de Derecho Cambiario, pág. 67 ).</w:t>
      </w:r>
    </w:p>
    <w:p>
      <w:pPr>
        <w:pStyle w:val="[Normal]"/>
        <w:spacing w:line="360" w:lineRule="auto"/>
        <w:ind w:firstLine="1134"/>
        <w:jc w:val="both"/>
        <w:rPr>
          <w:lang w:val="es-AR" w:eastAsia="es-AR" w:bidi="es-AR"/>
        </w:rPr>
      </w:pPr>
      <w:r>
        <w:rPr>
          <w:lang w:val="es-AR" w:eastAsia="es-AR" w:bidi="es-AR"/>
        </w:rPr>
        <w:t xml:space="preserve">También adolece la documentación, - no se ha acreditado ni invocado su cumplimiento -  del requisito previsto en el inc. f ) del art. 2° que  reza: " ... En caso de pago en cuotas deberán emitirse tantos ejemplares de facturas de crédito como cuotas, figurando en cada uno de ellos el número total de cuotas y el número de la cuota correspondiente. Cada ejemplar circulará como título valor independiente, por lo que deberá instrumentarse en original firmado; en tanto, la aceptación deberá producirse en cada uno específicamente...".  Y, el caso es no se han extendido facturas por las doce cuotas pactadas.</w:t>
      </w:r>
    </w:p>
    <w:p>
      <w:pPr>
        <w:pStyle w:val="[Normal]"/>
        <w:spacing w:line="360" w:lineRule="auto"/>
        <w:ind w:firstLine="1134"/>
        <w:jc w:val="both"/>
        <w:rPr>
          <w:lang w:val="es-AR" w:eastAsia="es-AR" w:bidi="es-AR"/>
        </w:rPr>
      </w:pPr>
      <w:r>
        <w:rPr>
          <w:lang w:val="es-AR" w:eastAsia="es-AR" w:bidi="es-AR"/>
        </w:rPr>
        <w:t xml:space="preserve">También carece la documental de la clara exigencia legal inserta en el inc. l)  del art. 2° que textualmente dice: "En el texto de la factura de crédito deberá expresarse que la firma de la misma, por el comprador o locatario, tendrá el efecto irrevocable de aceptación de su exactitud y el reconocimiento de la obligación de pago."</w:t>
      </w:r>
    </w:p>
    <w:p>
      <w:pPr>
        <w:pStyle w:val="[Normal]"/>
        <w:spacing w:line="360" w:lineRule="auto"/>
        <w:ind w:firstLine="1134"/>
        <w:jc w:val="both"/>
        <w:rPr>
          <w:lang w:val="es-AR" w:eastAsia="es-AR" w:bidi="es-AR"/>
        </w:rPr>
      </w:pPr>
      <w:r>
        <w:rPr>
          <w:lang w:val="es-AR" w:eastAsia="es-AR" w:bidi="es-AR"/>
        </w:rPr>
        <w:t xml:space="preserve">Empero, el examen previo realizado por el juzgador, se ha limitado o encorsetado a la citada ley  24.760, más no a la normativa procesal, en especial lo surgente de los arts. 518, 521 inc. 2° y 4° del CPC. y por ello entiendo que corresponde proponer al acuerdo la revocación del auto apelado.</w:t>
      </w:r>
    </w:p>
    <w:p>
      <w:pPr>
        <w:pStyle w:val="[Normal]"/>
        <w:spacing w:line="360" w:lineRule="auto"/>
        <w:ind w:firstLine="1134"/>
        <w:jc w:val="both"/>
        <w:rPr>
          <w:lang w:val="es-AR" w:eastAsia="es-AR" w:bidi="es-AR"/>
        </w:rPr>
      </w:pPr>
      <w:r>
        <w:rPr>
          <w:lang w:val="es-AR" w:eastAsia="es-AR" w:bidi="es-AR"/>
        </w:rPr>
        <w:t xml:space="preserve">En  nuestro país, la factura conformada nace con el decreto-ley 6601/63, luego modificada por la ley 24.064  de fecha 17 de enero de 1992 y finalmente la ley 24.760 dictada el 11 de diciembre de 1996. Es "...  dable decir que, la factura de crédito vino a suplantar a la antigua factura conformada que estaba regulada en el Cod. de Comercio..." ( cfr. " El Cheque y la Factura de Crédito "  Por la Dra. Karina Vanesa Mancuzi ).</w:t>
      </w:r>
    </w:p>
    <w:p>
      <w:pPr>
        <w:pStyle w:val="[Normal]"/>
        <w:spacing w:line="360" w:lineRule="auto"/>
        <w:ind w:firstLine="1134"/>
        <w:jc w:val="both"/>
        <w:rPr>
          <w:lang w:val="es-AR" w:eastAsia="es-AR" w:bidi="es-AR"/>
        </w:rPr>
      </w:pPr>
      <w:r>
        <w:rPr>
          <w:lang w:val="es-AR" w:eastAsia="es-AR" w:bidi="es-AR"/>
        </w:rPr>
        <w:t xml:space="preserve">Este Tribunal, con otra composición, se ha expedido al respecto ( cuyos fundamentos suscribo ) y ha entendido siguiendo la tendencia jurisprudencial uniforme, que cuando la factura no reuniera los requisitos del Dec. ley 6601/63 ( hoy 24.760 ), pero se indicare el precio, fecha de pago y se reúnan las formalidades o requirimientos del art. 518 del CPC. queda el documento encuadrado en las previsiones del art. 521 inc. 2 y 4 del CPC. (cfr. en tal sentido CAP.: causa 1385 del 27 / 10 / 94: " Jauregui Juan Ignacio c/Aramburu Daniel s/ Preparación de la vía ejecutiva.. Ver además en el mismo sentido: Der. v. 39 p. 350. Jurisp. Arg. 1971 v. 11 p. 561, L.L. v. 149 p. 31, Cám. Apel. San Nicolás 16 / 07 / 91, sumario de juba 0853005, Donato: " Juicio Ejecutivo " p. 135 ).</w:t>
      </w:r>
    </w:p>
    <w:p>
      <w:pPr>
        <w:pStyle w:val="[Normal]"/>
        <w:spacing w:line="360" w:lineRule="auto"/>
        <w:ind w:firstLine="1134"/>
        <w:jc w:val="both"/>
        <w:rPr>
          <w:lang w:val="es-AR" w:eastAsia="es-AR" w:bidi="es-AR"/>
        </w:rPr>
      </w:pPr>
      <w:r>
        <w:rPr>
          <w:lang w:val="es-AR" w:eastAsia="es-AR" w:bidi="es-AR"/>
        </w:rPr>
        <w:t xml:space="preserve">En idéntica dirección se ha dicho que "... Una factura con rubros detallados, a cuyo pie se ha asentado una nota en la que el accionado reconoce haber recibido las mercaderías a la que aluden aquellos, así como adeudar su importe y se compromete a pagarlos dentro de un término expreso, ratificando el escrito con su firma, reúne los requisitos impuestos por el art. 518, 521 inc. 2° y ccs. del ordenamiento procesal, desde que documenta una deuda líquida y exigible..." ( DJBA. v. 50 p. 59, Cám 2°, Sala II LP. causa 82.554 reg. sent. 263/56, 275/ 59 ).</w:t>
      </w:r>
    </w:p>
    <w:p>
      <w:pPr>
        <w:pStyle w:val="[Normal]"/>
        <w:spacing w:line="360" w:lineRule="auto"/>
        <w:ind w:firstLine="1134"/>
        <w:jc w:val="both"/>
        <w:rPr>
          <w:lang w:val="es-AR" w:eastAsia="es-AR" w:bidi="es-AR"/>
        </w:rPr>
      </w:pPr>
      <w:r>
        <w:rPr>
          <w:lang w:val="es-AR" w:eastAsia="es-AR" w:bidi="es-AR"/>
        </w:rPr>
        <w:t xml:space="preserve">Entonces concluyo que el Sr. Juez a-quo deberá preparar la vía ejecutiva en los términos del art. 523 del CPC., sin perjuicio del nuevo análisis que en el momento del dictado de la sentencia realice.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A la segunda cuestión el señor Juez Bernardo Louise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consecuencia revocar el decisorio recurrido, disponiendo que el Sr. Juez de la instancia de origen debe proceder de conformidad a lo dispuesto por los arts. 523 y ccs. del CPCC.  Sin costas, por no haber controversia ( art. 68/9 CPCC.).</w:t>
      </w:r>
    </w:p>
    <w:p>
      <w:pPr>
        <w:pStyle w:val="[Normal]"/>
        <w:spacing w:line="360" w:lineRule="auto"/>
        <w:ind w:firstLine="1134"/>
        <w:jc w:val="both"/>
        <w:rPr>
          <w:lang w:val="es-AR" w:eastAsia="es-AR" w:bidi="es-AR"/>
        </w:rPr>
      </w:pPr>
      <w:r>
        <w:rPr>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los Sres. Jueces Graciela Scaraffía y Roberto Manuel Degleue por análogos fundamentos votaron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u w:val="single"/>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 apelación interpuesto y en consecuencia revocar el decisorio recurrido disponiendo que el Sr. Juez de la instancia de origen  debe proceder de conformidad a lo dispuesto por los arts. 523 y ccs. del CPCC.  Sin costas, por no haber controversia ( art. 68/9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3845 SCBA) remitiéndose copia digital de la presente sentencia a los domicilios electrónicos de las respectivas partes que se detallan a continuación. Devuélvase.</w:t>
      </w:r>
    </w:p>
    <w:p>
      <w:pPr>
        <w:pStyle w:val="[Normal]"/>
        <w:rPr>
          <w:color w:val="000000"/>
          <w:lang w:val="es-AR" w:eastAsia="es-AR" w:bidi="es-AR"/>
        </w:rPr>
      </w:pPr>
      <w:r>
        <w:rPr>
          <w:color w:val="000000"/>
          <w:lang w:val="es-AR" w:eastAsia="es-AR" w:bidi="es-AR"/>
        </w:rPr>
        <w:t xml:space="preserve">27216012491@notificaciones.scba.gov.ar</w:t>
      </w:r>
    </w:p>
    <w:p>
      <w:pPr>
        <w:pStyle w:val="[Normal]"/>
        <w:rPr>
          <w:color w:val="000000"/>
          <w:lang w:val="es-AR" w:eastAsia="es-AR" w:bidi="es-AR"/>
        </w:rPr>
      </w:pPr>
    </w:p>
    <w:p>
      <w:pPr>
        <w:pStyle w:val="[Normal]"/>
        <w:rPr>
          <w:color w:val="000000"/>
          <w:lang w:val="es-AR" w:eastAsia="es-AR" w:bidi="es-AR"/>
        </w:rPr>
      </w:pPr>
    </w:p>
    <w:p>
      <w:pPr>
        <w:pStyle w:val="[Normal]"/>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09:55:51 -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10:10:31 -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10:22:45 - LOUISE Bernardo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Funcionario Firmante: 30/03/2021 10:43:47 -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t xml:space="preserve">Domicilio Electrónico: 27216012491@notificaciones.scba.gov.ar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rPr>
      </w:pPr>
      <w:r>
        <w:rPr>
          <w:rFonts w:ascii="BarCode 128" w:hAnsi="BarCode 128" w:eastAsia="BarCode 128" w:cs="BarCode 128"/>
          <w:sz w:val="60"/>
        </w:rPr>
        <w:t xml:space="preserve">‰7U")è%+*ƒ/Š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rPr>
      </w:pPr>
      <w:r>
        <w:rPr>
          <w:sz w:val="20"/>
        </w:rPr>
        <w:t xml:space="preserve">235302090005111099</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pPr>
      <w: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rPr>
        <w:t xml:space="preserve">CAMARA DE APELACION EN LO CIVIL Y COMERCIAL -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pPr>
      <w:r>
        <w:rPr>
          <w:rStyle w:val="B"/>
          <w:u w:val="single"/>
        </w:rPr>
        <w:t xml:space="preserve">NO CONTIENE ARCHIVOS ADJUNTOS</w:t>
      </w:r>
    </w:p>
    <w:p>
      <w:pPr>
        <w:pStyle w:val="[Normal]"/>
      </w:pPr>
    </w:p>
    <w:sectPr>
      <w:headerReference w:type="default" r:id="rId00004"/>
      <w:footerReference w:type="default" r:id="rId00005"/>
      <w:pgSz w:w="11907" w:h="16834"/>
      <w:pgMar w:top="3118"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b/>
        <w:color w:val="000000"/>
        <w:sz w:val="20"/>
        <w:lang w:val="es-AR" w:eastAsia="es-AR" w:bidi="es-AR"/>
      </w:rPr>
    </w:pPr>
    <w:r>
      <w:rPr>
        <w:b/>
        <w:color w:val="000000"/>
        <w:sz w:val="20"/>
        <w:lang w:val="es-AR" w:eastAsia="es-AR" w:bidi="es-AR"/>
      </w:rPr>
      <w:t xml:space="preserve">4172 - 21 - PARDO SA  C/ ROLDAN GRISELDA S/ COBRO EJECUTIVO</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‰7U")è%+*ƒ/Š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235302090005111099</w:t>
    </w:r>
    <w:r>
      <w:rPr>
        <w:color w:val="000000"/>
        <w:lang w:val="es-AR" w:eastAsia="es-AR" w:bidi="es-AR"/>
      </w:rPr>
      <w:t xml:space="preserve"> </w:t>
    </w:r>
  </w:p>
  <w:p>
    <w:pPr>
      <w:pStyle w:val="[Normal]"/>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rPr>
        <w:color w:val="000000"/>
        <w:lang w:val="es-AR" w:eastAsia="es-AR" w:bidi="es-AR"/>
      </w:rPr>
    </w:pPr>
    <w:r>
      <w:rPr>
        <w:color w:val="000000"/>
        <w:lang w:val="es-AR" w:eastAsia="es-AR" w:bidi="es-AR"/>
      </w:rPr>
      <w:t xml:space="preserve">PROVINCIA DE BUENOS AIRES</w:t>
    </w:r>
  </w:p>
  <w:p>
    <w:pPr>
      <w:pStyle w:val="[Normal]"/>
      <w:rPr>
        <w:color w:val="000000"/>
        <w:lang w:val="es-AR" w:eastAsia="es-AR" w:bidi="es-AR"/>
      </w:rPr>
    </w:pPr>
    <w:r>
      <w:rPr>
        <w:color w:val="000000"/>
        <w:lang w:val="es-AR" w:eastAsia="es-AR" w:bidi="es-AR"/>
      </w:rPr>
      <w:t xml:space="preserve">              Poder Judicial  </w:t>
    </w: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