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32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161/163</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30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4178-21</w:t>
      </w:r>
      <w:r>
        <w:rPr>
          <w:lang w:val="es-AR" w:eastAsia="es-AR" w:bidi="es-AR"/>
        </w:rPr>
        <w:t xml:space="preserve"> caratulados </w:t>
      </w:r>
      <w:r>
        <w:rPr>
          <w:b/>
          <w:lang w:val="es-AR" w:eastAsia="es-AR" w:bidi="es-AR"/>
        </w:rPr>
        <w:t xml:space="preserve">"</w:t>
      </w:r>
      <w:r>
        <w:rPr>
          <w:b/>
          <w:color w:val="000000"/>
          <w:lang w:val="es-AR" w:eastAsia="es-AR" w:bidi="es-AR"/>
        </w:rPr>
        <w:t xml:space="preserve">RAMELLA MARIA ANGELICA C/ ACOPLAR S.A. (KIPER CAR) Y OTRO/A S/ DAÑOS Y PERJ. INCUMP. CONTRACTUAL (EXC. ESTADO)</w:t>
      </w:r>
      <w:r>
        <w:rPr>
          <w:b/>
          <w:lang w:val="es-AR" w:eastAsia="es-AR" w:bidi="es-AR"/>
        </w:rPr>
        <w:t xml:space="preserve">",</w:t>
      </w:r>
      <w:r>
        <w:rPr>
          <w:lang w:val="es-AR" w:eastAsia="es-AR" w:bidi="es-AR"/>
        </w:rPr>
        <w:t xml:space="preserve"> Expte. N° 75507 del </w:t>
      </w:r>
      <w:r>
        <w:rPr>
          <w:color w:val="000000"/>
          <w:lang w:val="es-AR" w:eastAsia="es-AR" w:bidi="es-AR"/>
        </w:rPr>
        <w:t xml:space="preserve">Juzgado en lo Civil y Comercial N° 1 d</w:t>
      </w:r>
      <w:r>
        <w:rPr>
          <w:lang w:val="es-AR" w:eastAsia="es-AR" w:bidi="es-AR"/>
        </w:rPr>
        <w:t xml:space="preserve">epartamental, encontrándose el Dr. Bernardo Louise excusado en fecha 23/2/2021,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anterior instancia se declaró incompetente para intervenir en la presente, ordenando la remisión -por correo oficial- a la Receptoría General de Expedientes de San Nicolás de los Arroyos (BA).</w:t>
      </w:r>
    </w:p>
    <w:p>
      <w:pPr>
        <w:pStyle w:val="[Normal]"/>
        <w:spacing w:line="360" w:lineRule="auto"/>
        <w:ind w:firstLine="1134"/>
        <w:jc w:val="both"/>
        <w:rPr>
          <w:color w:val="000000"/>
          <w:lang w:val="es-AR" w:eastAsia="es-AR" w:bidi="es-AR"/>
        </w:rPr>
      </w:pPr>
      <w:r>
        <w:rPr>
          <w:color w:val="000000"/>
          <w:lang w:val="es-AR" w:eastAsia="es-AR" w:bidi="es-AR"/>
        </w:rPr>
        <w:t xml:space="preserve">Apeló la actora mediante la presentación electrónica de fecha 28/12/2020 y fundó su recurso en fecha 9/2/2021.</w:t>
      </w:r>
    </w:p>
    <w:p>
      <w:pPr>
        <w:pStyle w:val="[Normal]"/>
        <w:spacing w:line="360" w:lineRule="auto"/>
        <w:ind w:firstLine="1134"/>
        <w:jc w:val="both"/>
        <w:rPr>
          <w:color w:val="000000"/>
          <w:lang w:val="es-AR" w:eastAsia="es-AR" w:bidi="es-AR"/>
        </w:rPr>
      </w:pPr>
      <w:r>
        <w:rPr>
          <w:color w:val="000000"/>
          <w:lang w:val="es-AR" w:eastAsia="es-AR" w:bidi="es-AR"/>
        </w:rPr>
        <w:t xml:space="preserve">Estima la apelante que la resolución atacada es errónea, toda vez que conforme surge de nuestro ordenamiento la prorrogabilidad de la competencia territorial es la  regla general cuando se trata de asuntos meramente privados o patrimoniales y es conformada por las partes.</w:t>
      </w:r>
    </w:p>
    <w:p>
      <w:pPr>
        <w:pStyle w:val="[Normal]"/>
        <w:spacing w:line="360" w:lineRule="auto"/>
        <w:ind w:firstLine="1134"/>
        <w:jc w:val="both"/>
        <w:rPr>
          <w:color w:val="000000"/>
          <w:lang w:val="es-AR" w:eastAsia="es-AR" w:bidi="es-AR"/>
        </w:rPr>
      </w:pPr>
      <w:r>
        <w:rPr>
          <w:color w:val="000000"/>
          <w:lang w:val="es-AR" w:eastAsia="es-AR" w:bidi="es-AR"/>
        </w:rPr>
        <w:t xml:space="preserve">Señala que en el presente, de las condiciones generales del contrato, surge que a todos los efectos legales de la minuta de reserva -que adjunta- las partes se someten expresamente a la jurisdicción de los tribunales de Pergamino, renunciando a cualquier otra jurisdicción, sea provincial o federal. </w:t>
      </w:r>
    </w:p>
    <w:p>
      <w:pPr>
        <w:pStyle w:val="[Normal]"/>
        <w:spacing w:line="360" w:lineRule="auto"/>
        <w:ind w:firstLine="1134"/>
        <w:jc w:val="both"/>
        <w:rPr>
          <w:color w:val="000000"/>
          <w:lang w:val="es-AR" w:eastAsia="es-AR" w:bidi="es-AR"/>
        </w:rPr>
      </w:pPr>
      <w:r>
        <w:rPr>
          <w:color w:val="000000"/>
          <w:lang w:val="es-AR" w:eastAsia="es-AR" w:bidi="es-AR"/>
        </w:rPr>
        <w:t xml:space="preserve">Aduce que, conforme lo ha dicho el a-quo en el fallo anterior, las  reglas generales de distribución de la competencia territorial, en el caso de acciones personales,  ha de tener operatividad residual frente a la ausencia de un pacto, surgiendo del mismo contrato, que las partes han pactado la prórroga de la competencia al Departamento Judicial de Pergamino.</w:t>
      </w:r>
    </w:p>
    <w:p>
      <w:pPr>
        <w:pStyle w:val="[Normal]"/>
        <w:spacing w:line="360" w:lineRule="auto"/>
        <w:ind w:firstLine="1134"/>
        <w:jc w:val="both"/>
        <w:rPr>
          <w:color w:val="000000"/>
          <w:lang w:val="es-AR" w:eastAsia="es-AR" w:bidi="es-AR"/>
        </w:rPr>
      </w:pPr>
      <w:r>
        <w:rPr>
          <w:color w:val="000000"/>
          <w:lang w:val="es-AR" w:eastAsia="es-AR" w:bidi="es-AR"/>
        </w:rPr>
        <w:t xml:space="preserve">Aclara, que en los presentes, la prórroga de jurisdicción pactada favorece a la actora cuyo domicilio es en esta ciudad y que de las distintas normas que protegen las relaciones de consumo surge que todas las cláusulas contractuales deben ser interpretadas en el sentido más favorable al consumidor, por lo que tal circunstancia también debe ser atendida.</w:t>
      </w:r>
    </w:p>
    <w:p>
      <w:pPr>
        <w:pStyle w:val="[Normal]"/>
        <w:spacing w:line="360" w:lineRule="auto"/>
        <w:ind w:firstLine="1134"/>
        <w:jc w:val="both"/>
        <w:rPr>
          <w:color w:val="000000"/>
          <w:lang w:val="es-AR" w:eastAsia="es-AR" w:bidi="es-AR"/>
        </w:rPr>
      </w:pPr>
      <w:r>
        <w:rPr>
          <w:color w:val="000000"/>
          <w:lang w:val="es-AR" w:eastAsia="es-AR" w:bidi="es-AR"/>
        </w:rPr>
        <w:t xml:space="preserve">Peticiona se revoque la resolución atacada en lo que fuera materia de agravios.</w:t>
      </w:r>
    </w:p>
    <w:p>
      <w:pPr>
        <w:pStyle w:val="[Normal]"/>
        <w:spacing w:line="360" w:lineRule="auto"/>
        <w:ind w:firstLine="1134"/>
        <w:jc w:val="both"/>
        <w:rPr>
          <w:color w:val="000000"/>
          <w:lang w:val="es-AR" w:eastAsia="es-AR" w:bidi="es-AR"/>
        </w:rPr>
      </w:pPr>
      <w:r>
        <w:rPr>
          <w:color w:val="000000"/>
          <w:lang w:val="es-AR" w:eastAsia="es-AR" w:bidi="es-AR"/>
        </w:rPr>
        <w:t xml:space="preserve">En fecha 25/2/2021 se dictó el llamamiento de autos que habiendo adquirido firmeza deja la causa en condiciones de ser fallada. </w:t>
      </w:r>
    </w:p>
    <w:p>
      <w:pPr>
        <w:pStyle w:val="[Normal]"/>
        <w:spacing w:line="360" w:lineRule="auto"/>
        <w:ind w:firstLine="1134"/>
        <w:jc w:val="both"/>
        <w:rPr>
          <w:color w:val="000000"/>
          <w:lang w:val="es-AR" w:eastAsia="es-AR" w:bidi="es-AR"/>
        </w:rPr>
      </w:pPr>
      <w:r>
        <w:rPr>
          <w:color w:val="000000"/>
          <w:lang w:val="es-AR" w:eastAsia="es-AR" w:bidi="es-AR"/>
        </w:rPr>
        <w:t xml:space="preserve">Tras el análisis de la legislación a la que acudiera el a-quo para inhibirse como así de las constancias que la causa exhibe, concluyo de modo contrario, por lo que he de proponer el acogimiento del recurso intentado.</w:t>
      </w:r>
    </w:p>
    <w:p>
      <w:pPr>
        <w:pStyle w:val="[Normal]"/>
        <w:spacing w:line="360" w:lineRule="auto"/>
        <w:ind w:firstLine="1134"/>
        <w:jc w:val="both"/>
        <w:rPr>
          <w:color w:val="000000"/>
          <w:lang w:val="es-AR" w:eastAsia="es-AR" w:bidi="es-AR"/>
        </w:rPr>
      </w:pPr>
      <w:r>
        <w:rPr>
          <w:color w:val="000000"/>
          <w:lang w:val="es-AR" w:eastAsia="es-AR" w:bidi="es-AR"/>
        </w:rPr>
        <w:t xml:space="preserve">Es que el art. 5 del C. P. C. y C. al establecer las reglas generales de distribución de competencia territorial, en el caso de las acciones personales (inc. 3º del art. 5 CPCC), es claro al disponer que en caso de convención expresa pactada, a ella debe estarse para atribuir la jurisdicción competente.</w:t>
      </w:r>
    </w:p>
    <w:p>
      <w:pPr>
        <w:pStyle w:val="[Normal]"/>
        <w:spacing w:line="360" w:lineRule="auto"/>
        <w:ind w:firstLine="1134"/>
        <w:jc w:val="both"/>
        <w:rPr>
          <w:color w:val="000000"/>
          <w:lang w:val="es-AR" w:eastAsia="es-AR" w:bidi="es-AR"/>
        </w:rPr>
      </w:pPr>
      <w:r>
        <w:rPr>
          <w:color w:val="000000"/>
          <w:lang w:val="es-AR" w:eastAsia="es-AR" w:bidi="es-AR"/>
        </w:rPr>
        <w:t xml:space="preserve">"</w:t>
      </w:r>
      <w:r>
        <w:rPr>
          <w:i/>
          <w:color w:val="000000"/>
          <w:lang w:val="es-AR" w:eastAsia="es-AR" w:bidi="es-AR"/>
        </w:rPr>
        <w:t xml:space="preserve">El juez elegido por las partes en el convenio escrito ... En esta hipótesis, si el lugar de cumplimiento de la obligación ha siso pactado  expresamente por las partes, es de aplicación el art. 5° inc, 3°, del CPBA, en cuanto establece la competencia para las acciones personales, en primer término, por el lugar convenido en forma expresa</w:t>
      </w:r>
      <w:r>
        <w:rPr>
          <w:color w:val="000000"/>
          <w:lang w:val="es-AR" w:eastAsia="es-AR" w:bidi="es-AR"/>
        </w:rPr>
        <w:t xml:space="preserve"> ..." (Fenochietto, Carlos Eduardo, "Código Procesal Civil y Comercial de la Provincia de Buenos Aires" - Comentado, anotado y concordado - Legislación Complementaria - 5ta. edición actualizada y ampliada . Ed. Astrea - 1999, pág. 15).</w:t>
      </w:r>
    </w:p>
    <w:p>
      <w:pPr>
        <w:pStyle w:val="[Normal]"/>
        <w:spacing w:line="360" w:lineRule="auto"/>
        <w:ind w:firstLine="1134"/>
        <w:jc w:val="both"/>
        <w:rPr>
          <w:color w:val="000000"/>
          <w:lang w:val="es-AR" w:eastAsia="es-AR" w:bidi="es-AR"/>
        </w:rPr>
      </w:pPr>
      <w:r>
        <w:rPr>
          <w:color w:val="000000"/>
          <w:lang w:val="es-AR" w:eastAsia="es-AR" w:bidi="es-AR"/>
        </w:rPr>
        <w:t xml:space="preserve">Ello así, se advierte que en la solicitud de reserva de "vehículo nuevos", documentación en base a la cual se basa la acción (entre otras),  acompañada al demandar y también junto al escrito de apelación, se ha convenido expresamente lo siguiente; "</w:t>
      </w:r>
      <w:r>
        <w:rPr>
          <w:i/>
          <w:color w:val="000000"/>
          <w:lang w:val="es-AR" w:eastAsia="es-AR" w:bidi="es-AR"/>
        </w:rPr>
        <w:t xml:space="preserve">Se deja constancia que todos los efectos legales de la presente minuta de reserva las partes se someten expresamente a la jurisdicción de los tribunales de Pergamino, renunciando a cualquier otra jurisdicción...</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Es decir que en el caso traído a esta Alzada, surge en forma harto evidente que las partes han fijado la competencia de nuestro departamento judicial, razón por la cual deviene operativa la normativa invocada anteriormente, esto es que las partes habiendo convenido el lugar de cumplimiento de la obligación, es aquí donde la competencia en esta instancia del proceso resulta fijada.</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Acoger el recurso de apelación interpuesto y en su mérito revocar la sentencia primera, declarando la competencia del juez a-quo para intervenir en la presente.</w:t>
      </w:r>
    </w:p>
    <w:p>
      <w:pPr>
        <w:pStyle w:val="[Normal]"/>
        <w:spacing w:line="360" w:lineRule="auto"/>
        <w:ind w:firstLine="1134"/>
        <w:jc w:val="both"/>
        <w:rPr>
          <w:color w:val="000000"/>
          <w:lang w:val="es-AR" w:eastAsia="es-AR" w:bidi="es-AR"/>
        </w:rPr>
      </w:pPr>
      <w:r>
        <w:rPr>
          <w:color w:val="000000"/>
          <w:lang w:val="es-AR" w:eastAsia="es-AR" w:bidi="es-AR"/>
        </w:rPr>
        <w:t xml:space="preserve">Sin costas por no haber contradictorio (Art. 68 del C.P.C. y 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Acoger el recurso de apelación interpuesto y en su mérito revocar la sentencia primera, declarando la competencia del juez a-quo para intervenir en la presente.</w:t>
      </w:r>
    </w:p>
    <w:p>
      <w:pPr>
        <w:pStyle w:val="[Normal]"/>
        <w:spacing w:line="360" w:lineRule="auto"/>
        <w:ind w:firstLine="1134"/>
        <w:jc w:val="both"/>
        <w:rPr>
          <w:color w:val="000000"/>
          <w:lang w:val="es-AR" w:eastAsia="es-AR" w:bidi="es-AR"/>
        </w:rPr>
      </w:pPr>
      <w:r>
        <w:rPr>
          <w:color w:val="000000"/>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27288216970@NOTIFICACIONES.SCBA.GOV.AR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09:56:08 -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10:10:49 -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10:43:19 -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27288216970@NOTIFICACIONES.SCBA.GOV.AR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232702090005111079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4178 - 21 - RAMELLA MARIA ANGELICA C/ ACOPLAR S.A. (KIPER CAR) Y OTRO/A S/ DAÑOS Y PERJ. INCUMP. CONTRACTUAL (EXC. ESTADO)</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‰7;")è%+*o|Š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