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color w:val="000000"/>
          <w:lang w:val="es-AR" w:eastAsia="es-AR" w:bidi="es-AR"/>
        </w:rPr>
      </w:pPr>
      <w:r>
        <w:rPr>
          <w:b/>
          <w:lang w:val="es-AR" w:eastAsia="es-AR" w:bidi="es-AR"/>
        </w:rPr>
        <w:t xml:space="preserve">	Registro N°  27 /</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142/145</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23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4191-21</w:t>
      </w:r>
      <w:r>
        <w:rPr>
          <w:lang w:val="es-AR" w:eastAsia="es-AR" w:bidi="es-AR"/>
        </w:rPr>
        <w:t xml:space="preserve"> caratulada </w:t>
      </w:r>
      <w:r>
        <w:rPr>
          <w:b/>
          <w:lang w:val="es-AR" w:eastAsia="es-AR" w:bidi="es-AR"/>
        </w:rPr>
        <w:t xml:space="preserve">"</w:t>
      </w:r>
      <w:r>
        <w:rPr>
          <w:b/>
          <w:color w:val="000000"/>
          <w:lang w:val="es-AR" w:eastAsia="es-AR" w:bidi="es-AR"/>
        </w:rPr>
        <w:t xml:space="preserve">RODRIGUEZ MARIA JOSE C/ ABRAHAM NESTOR RENE S/ MATERIA A CATEGORIZARR</w:t>
      </w:r>
      <w:r>
        <w:rPr>
          <w:b/>
          <w:lang w:val="es-AR" w:eastAsia="es-AR" w:bidi="es-AR"/>
        </w:rPr>
        <w:t xml:space="preserve">"</w:t>
      </w:r>
      <w:r>
        <w:rPr>
          <w:lang w:val="es-AR" w:eastAsia="es-AR" w:bidi="es-AR"/>
        </w:rPr>
        <w:t xml:space="preserve">, Expte. N° </w:t>
      </w:r>
      <w:r>
        <w:rPr>
          <w:color w:val="000000"/>
          <w:lang w:val="es-AR" w:eastAsia="es-AR" w:bidi="es-AR"/>
        </w:rPr>
        <w:t xml:space="preserve">26767</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Familia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jc w:val="both"/>
        <w:rPr>
          <w:lang w:val="es-AR" w:eastAsia="es-AR" w:bidi="es-AR"/>
        </w:rPr>
      </w:pPr>
      <w:r>
        <w:rPr>
          <w:lang w:val="es-AR" w:eastAsia="es-AR" w:bidi="es-AR"/>
        </w:rPr>
        <w:t xml:space="preserve">	El señor Juez de la primera instancia</w:t>
      </w:r>
      <w:r>
        <w:rPr>
          <w:color w:val="000000"/>
          <w:lang w:val="es-AR" w:eastAsia="es-AR" w:bidi="es-AR"/>
        </w:rPr>
        <w:t xml:space="preserve"> rechazó in limine la demanda deducida, y ordenó el archivo de las presentes actuaciones. No reguló honorarios en atención a lo dispuesto por el art. 30 ley 14.967.-</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Dicho decisorio fue objeto del recurso de apelación interpuesto y fundado por la actora en fecha 03/02/21, concedido en relación y con efecto devolutivo en fecha 08/02/21. Arribados los autos a esta instancia, en fecha 25/02/2021 se llaman para resolver, providencia que firme a la fecha deja a la causa en condiciones de ser fallada.</w:t>
      </w:r>
    </w:p>
    <w:p>
      <w:pPr>
        <w:pStyle w:val="[Normal]"/>
        <w:spacing w:line="360" w:lineRule="auto"/>
        <w:ind w:firstLine="1134"/>
        <w:jc w:val="both"/>
        <w:rPr>
          <w:b/>
          <w:lang w:val="es-AR" w:eastAsia="es-AR" w:bidi="es-AR"/>
        </w:rPr>
      </w:pPr>
      <w:r>
        <w:rPr>
          <w:b/>
          <w:lang w:val="es-AR" w:eastAsia="es-AR" w:bidi="es-AR"/>
        </w:rPr>
        <w:t xml:space="preserve">Antecedentes fácticos:</w:t>
      </w:r>
    </w:p>
    <w:p>
      <w:pPr>
        <w:pStyle w:val="[Normal]"/>
        <w:spacing w:line="360" w:lineRule="auto"/>
        <w:ind w:firstLine="1134"/>
        <w:jc w:val="both"/>
        <w:rPr>
          <w:b/>
          <w:lang w:val="es-AR" w:eastAsia="es-AR" w:bidi="es-AR"/>
        </w:rPr>
      </w:pPr>
      <w:r>
        <w:rPr>
          <w:lang w:val="es-AR" w:eastAsia="es-AR" w:bidi="es-AR"/>
        </w:rPr>
        <w:t xml:space="preserve">Que, en el trámite de los autos caratulados "Rodriguez  María  José c/ Cantons Diego Rodolfo s/ Incidente de Alimentos", en fecha   de Abril de 2018, se homologó lo convenido por las partes en relación a la cuota alimentaria que el Sr. Cantons pagaría en favor de su hija C.M., M.A.G. en los siguientes términos: " El Sr. Cantons ofrece abonar en concepto de cuota alimentaria definitiva a favor de su hija menor un 30 % de lo que percibe como pago de haberes mensuales por su desempeño laboral (deducidos solo los descuentos de ley) en relación de dependencia para el Sr. Néstor René Abraham, indicando que a la fecha dicho 30% importa la suma de Pesos Seis Mil Seiscientos ($ 6600.-) por mes", lo que fue aceptado por la Sra. Rodriguez. </w:t>
      </w:r>
    </w:p>
    <w:p>
      <w:pPr>
        <w:pStyle w:val="[Normal]"/>
        <w:spacing w:line="360" w:lineRule="auto"/>
        <w:ind w:firstLine="1134"/>
        <w:jc w:val="both"/>
        <w:rPr>
          <w:b/>
          <w:lang w:val="es-AR" w:eastAsia="es-AR" w:bidi="es-AR"/>
        </w:rPr>
      </w:pPr>
      <w:r>
        <w:rPr>
          <w:lang w:val="es-AR" w:eastAsia="es-AR" w:bidi="es-AR"/>
        </w:rPr>
        <w:t xml:space="preserve">En fecha  26 de Febrero de 2020, el juzgado de origen, dispone: "... </w:t>
      </w:r>
      <w:r>
        <w:rPr>
          <w:i/>
          <w:lang w:val="es-AR" w:eastAsia="es-AR" w:bidi="es-AR"/>
        </w:rPr>
        <w:t xml:space="preserve">librar  oficio conforme lo solicitado, a fin de que la empleadora del alimentante  cumpla lo ordenado a fs. 82 y agregue en autos copia del ultimo recibo</w:t>
      </w:r>
      <w:r>
        <w:rPr>
          <w:lang w:val="es-AR" w:eastAsia="es-AR" w:bidi="es-AR"/>
        </w:rPr>
        <w:t xml:space="preserve">...". Si bien, en el expediente que tengo ante mi vista, se libró el oficio, éste  no se  ha  agregado debidamente diligenciado a la causa pero si se lo ha subido  a las  presentes actuaciones y   posteriormente, el 16 de octubre de 2020 se intimó  al Sr. Abraham mediante carta documento en términos similares.</w:t>
      </w:r>
    </w:p>
    <w:p>
      <w:pPr>
        <w:pStyle w:val="[Normal]"/>
        <w:spacing w:line="360" w:lineRule="auto"/>
        <w:ind w:firstLine="1134"/>
        <w:jc w:val="both"/>
        <w:rPr>
          <w:lang w:val="es-AR" w:eastAsia="es-AR" w:bidi="es-AR"/>
        </w:rPr>
      </w:pPr>
      <w:r>
        <w:rPr>
          <w:lang w:val="es-AR" w:eastAsia="es-AR" w:bidi="es-AR"/>
        </w:rPr>
        <w:t xml:space="preserve">Así es que, ante el silencio denunciado y falta de cumplimiento, la parte actora inicia el  presente trámite contra el Sr. Abraham, Néstor René, por  cobro de pesos ciento dos mil doscientos veinte, con veinticinco ( $ 102.220,25) en concepto de diferencias entre lo efectivamente depositado en autos, en el carácter de empleador del Sr. Diego Rodolfo Cantos quien resulta obligado directo al pago de los alimentos. Así de conformidad a lo dispuesto por el Art 706 inc c), art. 551, 552 y 804 del CCCN, solicita se determine además la aplicación de sanciones conminatorias al demandado, en beneficio de la menor. Aduna a  ello, los intereses hasta el efectivo pago, con más las sanciones conminatorias que V.S. estime corresponder, tomando en consideración el interés superior de la menor involucrada en autos y las particularidades de presente.</w:t>
      </w:r>
    </w:p>
    <w:p>
      <w:pPr>
        <w:pStyle w:val="[Normal]"/>
        <w:spacing w:line="360" w:lineRule="auto"/>
        <w:ind w:firstLine="1134"/>
        <w:jc w:val="both"/>
        <w:rPr>
          <w:i/>
          <w:lang w:val="es-AR" w:eastAsia="es-AR" w:bidi="es-AR"/>
        </w:rPr>
      </w:pPr>
      <w:r>
        <w:rPr>
          <w:b/>
          <w:lang w:val="es-AR" w:eastAsia="es-AR" w:bidi="es-AR"/>
        </w:rPr>
        <w:t xml:space="preserve">Frente a esta pretensión procesal</w:t>
      </w:r>
      <w:r>
        <w:rPr>
          <w:lang w:val="es-AR" w:eastAsia="es-AR" w:bidi="es-AR"/>
        </w:rPr>
        <w:t xml:space="preserve">, el juzgador de origen, responde "... </w:t>
      </w:r>
      <w:r>
        <w:rPr>
          <w:i/>
          <w:lang w:val="es-AR" w:eastAsia="es-AR" w:bidi="es-AR"/>
        </w:rPr>
        <w:t xml:space="preserve">atento que la presente acción tendiente a declarar la responsabilidad solidaria del empleador demandado Sr. Néstor René Abraham con fundamento en lo dispuesto en el art. 551 CCC no resulta una ejecución de sentencia tal como propone la accionante en tanto aún no existe título ejecutivo alguno, y debiendo previo a todo trámite accionarse en el marco de  un "incidente de responsabilidad" cuyo objeto -como adelanté- deberá ser la declaración judicial de responsabilidad solidaria en cabeza del demandado, para luego recién allí  determinar, si correspondiere, la deuda líquida y exigible que a la postre podrá ser ejecutada; se rechaza in límine la presente acción, debiendo ésta ser planteada conforme los parámetros antes explicitados por la vía procesal que corresponda (cfr. Expte. 390498-1 "O., R.C. c/Inc. S.A. por incidente", Juzg. Familia N° 3 Salta, 15/10/2019, pub. elDial.com)..., 	Que en relación a la solicitud de sanción conminatoria, deberá tenerse en cuenta que para poder aplicar una sanción conminatoria en los términos del art. 804 C.C.C.; en primer término debe intimarse al obligado al cumplimiento del deber jurídico impuesto bajo tal apercibimiento; para que luego, comprobado que fuere el incumplimiento recién allí hacer efectivo el apercibimiento imponiendo las sanciones que hubieren apercibido...". </w:t>
      </w:r>
    </w:p>
    <w:p>
      <w:pPr>
        <w:pStyle w:val="[Normal]"/>
        <w:spacing w:line="360" w:lineRule="auto"/>
        <w:ind w:firstLine="1134"/>
        <w:jc w:val="both"/>
        <w:rPr>
          <w:lang w:val="es-AR" w:eastAsia="es-AR" w:bidi="es-AR"/>
        </w:rPr>
      </w:pPr>
      <w:r>
        <w:rPr>
          <w:lang w:val="es-AR" w:eastAsia="es-AR" w:bidi="es-AR"/>
        </w:rPr>
        <w:t xml:space="preserve">Y con esos fundamentos el Sr. juez a-quo resolvió  rechazar in limine la demanda deducida.</w:t>
      </w:r>
    </w:p>
    <w:p>
      <w:pPr>
        <w:pStyle w:val="[Normal]"/>
        <w:spacing w:line="360" w:lineRule="auto"/>
        <w:ind w:firstLine="1134"/>
        <w:jc w:val="both"/>
        <w:rPr>
          <w:b/>
          <w:lang w:val="es-AR" w:eastAsia="es-AR" w:bidi="es-AR"/>
        </w:rPr>
      </w:pPr>
      <w:r>
        <w:rPr>
          <w:b/>
          <w:lang w:val="es-AR" w:eastAsia="es-AR" w:bidi="es-AR"/>
        </w:rPr>
        <w:t xml:space="preserve">Agravios de la actora:</w:t>
      </w:r>
    </w:p>
    <w:p>
      <w:pPr>
        <w:pStyle w:val="[Normal]"/>
        <w:spacing w:line="360" w:lineRule="auto"/>
        <w:ind w:firstLine="1134"/>
        <w:jc w:val="both"/>
        <w:rPr>
          <w:lang w:val="es-AR" w:eastAsia="es-AR" w:bidi="es-AR"/>
        </w:rPr>
      </w:pPr>
      <w:r>
        <w:rPr>
          <w:lang w:val="es-AR" w:eastAsia="es-AR" w:bidi="es-AR"/>
        </w:rPr>
        <w:t xml:space="preserve">Primeramente dice, que tanto en la planilla de inicio del trámite como de la demanda,  ésta ha sido  iniciada como " </w:t>
      </w:r>
      <w:r>
        <w:rPr>
          <w:i/>
          <w:lang w:val="es-AR" w:eastAsia="es-AR" w:bidi="es-AR"/>
        </w:rPr>
        <w:t xml:space="preserve">materia a categorizar </w:t>
      </w:r>
      <w:r>
        <w:rPr>
          <w:lang w:val="es-AR" w:eastAsia="es-AR" w:bidi="es-AR"/>
        </w:rPr>
        <w:t xml:space="preserve">", por lo que ha sido el Sr. juez a-quo quien determinó el presente proceso como de ejecución de sentencia y luego resuelve como lo hizo con base en la inexistencia de título.</w:t>
      </w:r>
    </w:p>
    <w:p>
      <w:pPr>
        <w:pStyle w:val="[Normal]"/>
        <w:spacing w:line="360" w:lineRule="auto"/>
        <w:ind w:firstLine="1134"/>
        <w:jc w:val="both"/>
        <w:rPr>
          <w:lang w:val="es-AR" w:eastAsia="es-AR" w:bidi="es-AR"/>
        </w:rPr>
      </w:pPr>
      <w:r>
        <w:rPr>
          <w:lang w:val="es-AR" w:eastAsia="es-AR" w:bidi="es-AR"/>
        </w:rPr>
        <w:t xml:space="preserve">También considera erróneo el argumento del juzgador, en punto a que su parte deba iniciar un incidente, previamente de responsabilidad para determinar la que le cabe al empleador, cuando hay una sentencia notificada, oficios recibidos por aquél donde se le hace saber los alcances del art. 551 C.C.C., e intimado por carta documento al cumplimiento de la manda judicial, el empleador se ha mantenido en silencio.</w:t>
      </w:r>
    </w:p>
    <w:p>
      <w:pPr>
        <w:pStyle w:val="[Normal]"/>
        <w:spacing w:line="360" w:lineRule="auto"/>
        <w:ind w:firstLine="1134"/>
        <w:jc w:val="both"/>
        <w:rPr>
          <w:lang w:val="es-AR" w:eastAsia="es-AR" w:bidi="es-AR"/>
        </w:rPr>
      </w:pPr>
      <w:r>
        <w:rPr>
          <w:lang w:val="es-AR" w:eastAsia="es-AR" w:bidi="es-AR"/>
        </w:rPr>
        <w:t xml:space="preserve">Por ello entiende que la sentencia apelada debe ser revocada en tanto carece de fundamentación.</w:t>
      </w:r>
    </w:p>
    <w:p>
      <w:pPr>
        <w:pStyle w:val="[Normal]"/>
        <w:spacing w:line="360" w:lineRule="auto"/>
        <w:ind w:firstLine="1134"/>
        <w:jc w:val="both"/>
        <w:rPr>
          <w:lang w:val="es-AR" w:eastAsia="es-AR" w:bidi="es-AR"/>
        </w:rPr>
      </w:pPr>
      <w:r>
        <w:rPr>
          <w:b/>
          <w:lang w:val="es-AR" w:eastAsia="es-AR" w:bidi="es-AR"/>
        </w:rPr>
        <w:t xml:space="preserve">Desde el punto de vista fondal: </w:t>
      </w:r>
    </w:p>
    <w:p>
      <w:pPr>
        <w:pStyle w:val="[Normal]"/>
        <w:spacing w:line="360" w:lineRule="auto"/>
        <w:ind w:firstLine="1134"/>
        <w:jc w:val="both"/>
        <w:rPr>
          <w:lang w:val="es-AR" w:eastAsia="es-AR" w:bidi="es-AR"/>
        </w:rPr>
      </w:pPr>
      <w:r>
        <w:rPr>
          <w:lang w:val="es-AR" w:eastAsia="es-AR" w:bidi="es-AR"/>
        </w:rPr>
        <w:t xml:space="preserve">"...  El art. 551 Cód. Civil y Comercial ha consagrado en de la Nación la solidaridad del empleador cuando no cumple con la retención y depósito de los haberes de su empleado / alimentante; y garantiza al acreedor alimentario el estricto cumplimiento de la orden de retención, responsabilizando a la patronal, puesto que ella es quien tiene la obligación legal de realizar el descuento y el ulterior depósito del importe correspondiente a la cuota...". " ... La obligación del alimentante y del empleador incumplidor  técnicamente no es solidaria, sino concurrente o in solidum y la responsabilidad que el Código impone se fundamenta en el incumplimiento de la manda judicial, total o parcial y con  ello se produzca una  afectación directa a un bien jurídico protegido por la ley, de jerarquía superior y en el cual se encuentra comprometido el orden público del derecho de familia y en especial de los niños, niñas u adolecentes..." ( cfr. en tal sentido: Juzgado en lo  Civil, Comercial  de Conciliación, Familia, Instrucción, Menores y  Faltas de  Arroyito  B. P. S. S. c. S., G. J s/ Régimen de visita / Alimentos - Contencioso • 27/09/2019 Cita Online: AR/JUR/43269/2019 ).</w:t>
      </w:r>
    </w:p>
    <w:p>
      <w:pPr>
        <w:pStyle w:val="[Normal]"/>
        <w:spacing w:line="360" w:lineRule="auto"/>
        <w:ind w:firstLine="1134"/>
        <w:jc w:val="both"/>
        <w:rPr>
          <w:lang w:val="es-AR" w:eastAsia="es-AR" w:bidi="es-AR"/>
        </w:rPr>
      </w:pPr>
      <w:r>
        <w:rPr>
          <w:lang w:val="es-AR" w:eastAsia="es-AR" w:bidi="es-AR"/>
        </w:rPr>
        <w:t xml:space="preserve">Y, casualmente, para que opere la responsabilidad civil prevista en el art. 551 Cód. Civil y Comercial, respecto del empleador del alimentante, deben verificarse - en el trámite procesal - los presupuestos de hecho y de derecho que lo hacen  responsable in solidum,  debiendo garantizarse en todo momento el derecho de defensa del supuesto empleador incumplidor. </w:t>
      </w:r>
    </w:p>
    <w:p>
      <w:pPr>
        <w:pStyle w:val="[Normal]"/>
        <w:spacing w:line="360" w:lineRule="auto"/>
        <w:ind w:firstLine="1134"/>
        <w:jc w:val="both"/>
        <w:rPr>
          <w:lang w:val="es-AR" w:eastAsia="es-AR" w:bidi="es-AR"/>
        </w:rPr>
      </w:pPr>
      <w:r>
        <w:rPr>
          <w:b/>
          <w:lang w:val="es-AR" w:eastAsia="es-AR" w:bidi="es-AR"/>
        </w:rPr>
        <w:t xml:space="preserve">Desde el derecho procesal</w:t>
      </w:r>
      <w:r>
        <w:rPr>
          <w:lang w:val="es-AR" w:eastAsia="es-AR" w:bidi="es-AR"/>
        </w:rPr>
        <w:t xml:space="preserve">, cabe  manifestar que debemos tener en cuenta que la facultad con la que el Legislador provincial ha dotado a la jurisdicción para rechazar de oficio una demanda (art. 336 CPC.), resulta excepcional por cuanto importa cercenar derechos consagrados tanto en el art. 14 de la Constitución  Nacional (  reclamar a las Autoridades ) como el art. 15 del texto Provincial, en tanto la Provincia de Bs. As., garantiza el acceso irrestricto a la justicia.</w:t>
      </w:r>
    </w:p>
    <w:p>
      <w:pPr>
        <w:pStyle w:val="[Normal]"/>
        <w:spacing w:line="360" w:lineRule="auto"/>
        <w:ind w:firstLine="1134"/>
        <w:jc w:val="both"/>
        <w:rPr>
          <w:lang w:val="es-AR" w:eastAsia="es-AR" w:bidi="es-AR"/>
        </w:rPr>
      </w:pPr>
      <w:r>
        <w:rPr>
          <w:lang w:val="es-AR" w:eastAsia="es-AR" w:bidi="es-AR"/>
        </w:rPr>
        <w:t xml:space="preserve">Así las cosas, tal facultad debe ser ejercida con la debida prudencia, donde la inadmisibilidad de la pretensión sea expresa y manifiesta y de una improponibilidad tal que por el propio peso imponga una resolución  en tal sentido y siempre  que el  juez, en  uso de las facultades del art. 34 inc. 5 p. b ) del  CPC., no pueda subsanar.</w:t>
      </w:r>
    </w:p>
    <w:p>
      <w:pPr>
        <w:pStyle w:val="[Normal]"/>
        <w:spacing w:line="360" w:lineRule="auto"/>
        <w:ind w:firstLine="1134"/>
        <w:jc w:val="both"/>
        <w:rPr>
          <w:lang w:val="es-AR" w:eastAsia="es-AR" w:bidi="es-AR"/>
        </w:rPr>
      </w:pPr>
      <w:r>
        <w:rPr>
          <w:lang w:val="es-AR" w:eastAsia="es-AR" w:bidi="es-AR"/>
        </w:rPr>
        <w:t xml:space="preserve">La pretensión procesal, es el cobro de pesos determinado por diferencias entre lo abonado y lo efectivamente percibido - como consecuencia del incumplimiento del mandato judicial - con más la aplicación de las astreintes e intereses, por lo que fundamentar una resolución de tal naturaleza por inexistencia de título ejecutivo, no luce acertado y he de proponer al acuerdo la revocación del auto apelado.</w:t>
      </w:r>
    </w:p>
    <w:p>
      <w:pPr>
        <w:pStyle w:val="[Normal]"/>
        <w:spacing w:line="360" w:lineRule="auto"/>
        <w:ind w:firstLine="1134"/>
        <w:jc w:val="both"/>
        <w:rPr>
          <w:lang w:val="es-AR" w:eastAsia="es-AR" w:bidi="es-AR"/>
        </w:rPr>
      </w:pPr>
      <w:r>
        <w:rPr>
          <w:lang w:val="es-AR" w:eastAsia="es-AR" w:bidi="es-AR"/>
        </w:rPr>
        <w:t xml:space="preserve">En efecto, además de las facultades que la legislación dota a la jurisdicción - art. 34 inc. 5 ap. f ) del CPC-., por las cuales bien pudo el a-quo requerir precisiones previo al decisorio de naturaleza excepcional y restrictivo dictado, el mismo legislador por hallarse en juego el orden público, ha puesto en cabeza del juzgador el encause de la pretensión en el tipo procesal que entienda corresponda y "... las partes, ni aún de común acuerdo, pueden discrecionalmente elegir el tipo procesal y apartarse de los principios enunciados, ..., siendo la administración de justicia resorte exclusivo del Estado..." ( cfr.  Fenochietto: Cós. civ. y Com. com. p. 346 ).</w:t>
      </w:r>
    </w:p>
    <w:p>
      <w:pPr>
        <w:pStyle w:val="[Normal]"/>
        <w:spacing w:line="360" w:lineRule="auto"/>
        <w:ind w:firstLine="1134"/>
        <w:jc w:val="both"/>
        <w:rPr>
          <w:lang w:val="es-AR" w:eastAsia="es-AR" w:bidi="es-AR"/>
        </w:rPr>
      </w:pPr>
      <w:r>
        <w:rPr>
          <w:lang w:val="es-AR" w:eastAsia="es-AR" w:bidi="es-AR"/>
        </w:rPr>
        <w:t xml:space="preserve">Sentado lo anterior, considero que por medio de la reconducción de postulaciones es posible atenuar el rigorismo de las formas para evitar que por un error en la elección de la vía, se produzca un decaimiento del derecho sustancial en juego. Solución que en la especie se impone atento a la importancia de los intereses involucrados: satisfacción de prestación alimentaria en favor de una persona menor de edad (art. 3 de la ley 26.061).	 	El instituto de referencia habilita al juez a desarrollar una activa labor dirigiendo el proceso en el marco de la tutela judicial continua y efectiva asegurada constitucionalmente. Varios son los principios que dan fundamento a la reconducción: el de </w:t>
      </w:r>
      <w:r>
        <w:rPr>
          <w:i/>
          <w:lang w:val="es-AR" w:eastAsia="es-AR" w:bidi="es-AR"/>
        </w:rPr>
        <w:t xml:space="preserve">iura novit  curia, </w:t>
      </w:r>
      <w:r>
        <w:rPr>
          <w:lang w:val="es-AR" w:eastAsia="es-AR" w:bidi="es-AR"/>
        </w:rPr>
        <w:t xml:space="preserve">el de subsanación, el de conservación, el de economía, el de instrumentalidad de las formas (SCBA, causa 72.835, sent. del 23/12/2014, del voto del Dr. de Lázzari).</w:t>
      </w:r>
    </w:p>
    <w:p>
      <w:pPr>
        <w:pStyle w:val="[Normal]"/>
        <w:spacing w:line="360" w:lineRule="auto"/>
        <w:ind w:firstLine="1134"/>
        <w:jc w:val="both"/>
        <w:rPr>
          <w:lang w:val="es-AR" w:eastAsia="es-AR" w:bidi="es-AR"/>
        </w:rPr>
      </w:pPr>
      <w:r>
        <w:rPr>
          <w:lang w:val="es-AR" w:eastAsia="es-AR" w:bidi="es-AR"/>
        </w:rPr>
        <w:t xml:space="preserve">En esta línea, la Corte Nacional ha validado la reconducción de postulaciones como una respuesta jurisdiccional acertada con fundamento en las facultades ordenatorias de los jueces para resolver las controversias judiciales: </w:t>
      </w:r>
      <w:r>
        <w:rPr>
          <w:i/>
          <w:lang w:val="es-AR" w:eastAsia="es-AR" w:bidi="es-AR"/>
        </w:rPr>
        <w:t xml:space="preserve">"los jueces tienen no sólo la facultad, sino también el deber de discurrir los conflictos y dirimirlos según el derecho aplicable, calificando autónomamente la realidad fáctica y subsumiéndola en las normas jurídicas con prescindencia de los fundamentos que enuncian las partes –conf. doctrina de Fallos: 324:2946-"</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Entonces así, el derecho procesal  dota al Juez de facultades para encausar la pretensión dentro del tipo procesal que estime pertinente, precisamente  para tramitar  el derecho fondal ( arts. 551 C.C.C., arts. 34, 319 y ccs. del CPC.).</w:t>
      </w:r>
    </w:p>
    <w:p>
      <w:pPr>
        <w:pStyle w:val="[Normal]"/>
        <w:spacing w:line="360" w:lineRule="auto"/>
        <w:ind w:firstLine="1134"/>
        <w:jc w:val="both"/>
        <w:rPr>
          <w:b/>
          <w:lang w:val="es-AR" w:eastAsia="es-AR" w:bidi="es-AR"/>
        </w:rPr>
      </w:pPr>
      <w:r>
        <w:rPr>
          <w:lang w:val="es-AR" w:eastAsia="es-AR" w:bidi="es-AR"/>
        </w:rPr>
        <w:t xml:space="preserve">Ha de adunarse a ello, que se halla en juego el derecho alimentario de menores y  ello    impone a la jurisdicción  extremar los recaudos  procesales para no frustrar derechos constitucionales e internacionales  con  rigorismos que impiden tales cometidos. Así lo ha entendido nuestro Máximo Tribunal federal al decir: "...Que cuando se trataba de resguardar el interés superior del niño, concernía a los jueces buscar soluciones que se avinieran con la urgencia y la naturaleza de las pretensiones, encauzar los trámites por vías expeditivas y evitar que el rigor de las formas pudiera conducir a la frustración de derechos que contaban con particular tutela constitucional..."  ( CJSN Fallos: 324:122, "Guckenheimer"; entre otros). </w:t>
      </w:r>
    </w:p>
    <w:p>
      <w:pPr>
        <w:pStyle w:val="[Normal]"/>
        <w:spacing w:line="360" w:lineRule="auto"/>
        <w:ind w:firstLine="1134"/>
        <w:jc w:val="both"/>
        <w:rPr>
          <w:lang w:val="es-AR" w:eastAsia="es-AR" w:bidi="es-AR"/>
        </w:rPr>
      </w:pPr>
      <w:r>
        <w:rPr>
          <w:lang w:val="es-AR" w:eastAsia="es-AR" w:bidi="es-AR"/>
        </w:rPr>
        <w:t xml:space="preserve">Además de lo expuesto, en el caso  resulta erróneo lo decidido por cuanto de la lectura del escrito de inicio, no se advierte - como se expone  - llevar adelante una ejecución de sentencia, sino como se dijera supra, es el cobro de pesos con más astreintes e intereses, con base en la imputación de incumplimiento de la manda judicial en los términos del art. 551 del C.C.C., para lo cual deberá el juzgador determinar el tipo de  procedimiento  que cabe al presente, pedimento garantizando siempre el derecho de defensa.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interpuesto y revocar el auto apelado, disponiendo que el Sr. juez de la instancia anterior proceda a encausar el planteo en el tipo procesal que se adecue a la pretensión inicial. Sin costas por no haber controversia ( art. 68 CPC.).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interpuesto y revocar el auto apelado, disponiendo que el Sr. juez de la instancia anterior proceda a encausar el planteo en el tipo procesal que se adecue a la pretensión inicial. Sin costas por no haber controversia ( art. 68 CPC.).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color w:val="000000"/>
          <w:lang w:val="es-AR" w:eastAsia="es-AR" w:bidi="es-AR"/>
        </w:rPr>
      </w:pPr>
      <w:r>
        <w:rPr>
          <w:noProof/>
          <w:color w:val="000000"/>
          <w:lang w:val="es-AR" w:eastAsia="es-AR" w:bidi="es-AR"/>
        </w:rPr>
        <w:t xml:space="preserve">27245244105@NOTIFICACIONES.SCBA.GOV.AR</w:t>
      </w:r>
    </w:p>
    <w:p>
      <w:pPr>
        <w:pStyle w:val="[Normal]"/>
        <w:spacing w:line="360" w:lineRule="auto"/>
        <w:ind w:firstLine="1134"/>
        <w:jc w:val="both"/>
        <w:rPr>
          <w:color w:val="000000"/>
          <w:lang w:val="es-AR" w:eastAsia="es-AR" w:bidi="es-AR"/>
        </w:rPr>
      </w:pPr>
      <w:r>
        <w:rPr>
          <w:noProof/>
          <w:color w:val="000000"/>
          <w:lang w:val="es-AR" w:eastAsia="es-AR" w:bidi="es-AR"/>
        </w:rPr>
        <w:t xml:space="preserve">GMASCIOTTA@MPBA.GOV.AR</w:t>
      </w:r>
    </w:p>
    <w:p>
      <w:pPr>
        <w:pStyle w:val="[Normal]"/>
        <w:spacing w:line="360" w:lineRule="auto"/>
        <w:ind w:firstLine="1134"/>
        <w:jc w:val="both"/>
        <w:rPr>
          <w:lang w:val="es-AR" w:eastAsia="es-AR" w:bidi="es-AR"/>
        </w:rPr>
      </w:pPr>
      <w:r>
        <w:rPr>
          <w:lang w:val="es-AR" w:eastAsia="es-AR" w:bidi="es-AR"/>
        </w:rPr>
        <w:t xml:space="preserve">  </w:t>
      </w:r>
    </w:p>
    <w:p>
      <w:pPr>
        <w:pStyle w:val="[Normal]"/>
        <w:spacing w:line="360" w:lineRule="auto"/>
        <w:ind w:firstLine="1134"/>
        <w:rPr>
          <w:color w:val="000000"/>
          <w:lang w:val="es-AR" w:eastAsia="es-AR" w:bidi="es-AR"/>
        </w:rPr>
      </w:pPr>
    </w:p>
    <w:p>
      <w:pPr>
        <w:pStyle w:val="[Normal]"/>
        <w:spacing w:line="360" w:lineRule="auto"/>
        <w:rPr>
          <w:color w:val="000000"/>
          <w:lang w:val="es-AR" w:eastAsia="es-AR" w:bidi="es-AR"/>
        </w:rPr>
      </w:pPr>
    </w:p>
    <w:p>
      <w:pPr>
        <w:pStyle w:val="[Normal]"/>
        <w:spacing w:line="360" w:lineRule="auto"/>
        <w:rPr>
          <w:color w:val="000000"/>
          <w:lang w:val="es-AR" w:eastAsia="es-AR" w:bidi="es-AR"/>
        </w:rPr>
      </w:pPr>
    </w:p>
    <w:p>
      <w:pPr>
        <w:pStyle w:val="[Normal]"/>
        <w:spacing w:line="360" w:lineRule="auto"/>
        <w:rPr>
          <w:color w:val="000000"/>
          <w:lang w:val="es-AR" w:eastAsia="es-AR" w:bidi="es-AR"/>
        </w:rPr>
      </w:pPr>
    </w:p>
    <w:p>
      <w:pPr>
        <w:pStyle w:val="[Normal]"/>
        <w:spacing w:line="360" w:lineRule="auto"/>
        <w:rPr>
          <w:color w:val="000000"/>
          <w:lang w:val="es-AR" w:eastAsia="es-AR" w:bidi="es-AR"/>
        </w:rPr>
      </w:pPr>
    </w:p>
    <w:p>
      <w:pPr>
        <w:pStyle w:val="[Normal]"/>
        <w:spacing w:line="360" w:lineRule="auto"/>
        <w:rPr>
          <w:color w:val="000000"/>
          <w:lang w:val="es-AR" w:eastAsia="es-AR" w:bidi="es-AR"/>
        </w:rPr>
      </w:pPr>
    </w:p>
    <w:p>
      <w:pPr>
        <w:pStyle w:val="[Normal]"/>
        <w:spacing w:line="360" w:lineRule="auto"/>
        <w:rPr>
          <w:color w:val="000000"/>
          <w:lang w:val="es-AR" w:eastAsia="es-AR" w:bidi="es-AR"/>
        </w:rPr>
      </w:pPr>
    </w:p>
    <w:p>
      <w:pPr>
        <w:pStyle w:val="[Normal]"/>
        <w:spacing w:line="360" w:lineRule="auto"/>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09:36:37 -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09:56:00 -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10:06:23 -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23/03/2021 10:23:32 -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27245244105@NOTIFICACIONES.SCBA.GOV.AR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‰7Y")è%+33ÁŠ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235702090005111919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4191 - 21 - RODRIGUEZ MARIA JOSE C/ ABRAHAM NESTOR RENE S/ MATERIA A CATEGORIZARR</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‰7Y")è%+33ÁŠ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235702090005111919</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