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41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204/207</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15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3631-19</w:t>
      </w:r>
      <w:r>
        <w:rPr>
          <w:lang w:val="es-AR" w:eastAsia="es-AR" w:bidi="es-AR"/>
        </w:rPr>
        <w:t xml:space="preserve"> caratulada </w:t>
      </w:r>
      <w:r>
        <w:rPr>
          <w:b/>
          <w:lang w:val="es-AR" w:eastAsia="es-AR" w:bidi="es-AR"/>
        </w:rPr>
        <w:t xml:space="preserve">"</w:t>
      </w:r>
      <w:r>
        <w:rPr>
          <w:b/>
          <w:color w:val="000000"/>
          <w:lang w:val="es-AR" w:eastAsia="es-AR" w:bidi="es-AR"/>
        </w:rPr>
        <w:t xml:space="preserve">FLORES NORMA BEATRIZ C/ MONTANARI AUTOMOTORES S.A. Y OTROS S/DAÑOS Y PERJ. AUTOM. S/LESIONES (EXC. ESTADO)</w:t>
      </w:r>
      <w:r>
        <w:rPr>
          <w:b/>
          <w:lang w:val="es-AR" w:eastAsia="es-AR" w:bidi="es-AR"/>
        </w:rPr>
        <w:t xml:space="preserve">"</w:t>
      </w:r>
      <w:r>
        <w:rPr>
          <w:lang w:val="es-AR" w:eastAsia="es-AR" w:bidi="es-AR"/>
        </w:rPr>
        <w:t xml:space="preserve">, Expte. N° 57.074 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Dres. Roberto Manuel Degleue, Bernardo Louise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haciendo lugar a la impugnación deducida y, por consiguiente aprobando la liquidación practicada en la suma total de un millón ciento sesenta y cinco mil ochocientos diez pesos con 01/100 centavos ($ 1.165.810.01), con costas a la parte demandada vencida. Asimismo reguló los honorarios de los profesionales intervinientes.</w:t>
      </w:r>
    </w:p>
    <w:p>
      <w:pPr>
        <w:pStyle w:val="[Normal]"/>
        <w:spacing w:line="360" w:lineRule="auto"/>
        <w:ind w:firstLine="1134"/>
        <w:jc w:val="both"/>
        <w:rPr>
          <w:lang w:val="es-AR" w:eastAsia="es-AR" w:bidi="es-AR"/>
        </w:rPr>
      </w:pPr>
      <w:r>
        <w:rPr>
          <w:lang w:val="es-AR" w:eastAsia="es-AR" w:bidi="es-AR"/>
        </w:rPr>
        <w:t xml:space="preserve">En fecha 23/10/2020 interpuso recurso de apelación el apoderado de la actora contra dicho fallo, el que fuera fundado en el acto de su interposición.</w:t>
      </w:r>
    </w:p>
    <w:p>
      <w:pPr>
        <w:pStyle w:val="[Normal]"/>
        <w:spacing w:line="360" w:lineRule="auto"/>
        <w:ind w:firstLine="1134"/>
        <w:jc w:val="both"/>
        <w:rPr>
          <w:lang w:val="es-AR" w:eastAsia="es-AR" w:bidi="es-AR"/>
        </w:rPr>
      </w:pPr>
      <w:r>
        <w:rPr>
          <w:lang w:val="es-AR" w:eastAsia="es-AR" w:bidi="es-AR"/>
        </w:rPr>
        <w:t xml:space="preserve">Se agravia en principio el apelante del párrafo final de la sentencia interlocutoria de fecha 02/10/2020 mediante el cual se rechazó lo peticionado en su escrito de fecha 01/10/2020, lo que considera, contraría lo resuelto por este Tribunal en la sentencia de fecha 20/2/2020.</w:t>
      </w:r>
    </w:p>
    <w:p>
      <w:pPr>
        <w:pStyle w:val="[Normal]"/>
        <w:spacing w:line="360" w:lineRule="auto"/>
        <w:ind w:firstLine="1134"/>
        <w:jc w:val="both"/>
        <w:rPr>
          <w:lang w:val="es-AR" w:eastAsia="es-AR" w:bidi="es-AR"/>
        </w:rPr>
      </w:pPr>
      <w:r>
        <w:rPr>
          <w:lang w:val="es-AR" w:eastAsia="es-AR" w:bidi="es-AR"/>
        </w:rPr>
        <w:t xml:space="preserve">Sostiene que en fecha 15/05/2020 la accionada presentó una deficiente liquidación, impugnada por la parte que representa mediante escrito de fecha 26/06/2020, en el cual, a su vez se presentó liquidación ajustada a las pautas de sentencia, época en que el precio actualizado del automóvil objeto del presente ascendía a la suma de $ 984.000, alcanzando así la liquidación total a la suma de $1.165.810,01.</w:t>
      </w:r>
    </w:p>
    <w:p>
      <w:pPr>
        <w:pStyle w:val="[Normal]"/>
        <w:spacing w:line="360" w:lineRule="auto"/>
        <w:ind w:firstLine="1134"/>
        <w:jc w:val="both"/>
        <w:rPr>
          <w:lang w:val="es-AR" w:eastAsia="es-AR" w:bidi="es-AR"/>
        </w:rPr>
      </w:pPr>
      <w:r>
        <w:rPr>
          <w:lang w:val="es-AR" w:eastAsia="es-AR" w:bidi="es-AR"/>
        </w:rPr>
        <w:t xml:space="preserve">Advierte que como consecuencia del contexto inflacionario que atraviesa el país y no habiendo sido aprobada aún la liquidación, y alcanzando el precio del plaza del vehículo a la suma de $1.169.250, se presentó la correspondiente actualización de dicha liquidación, que ascendió a la suma de $1.358.427,27, solicitando a su vez además de su aprobación judicial, la regulación de honorarios profesionales sobre dicho total, y haciendo reserva de presentar nuevas liquidaciones conforme a las variaciones que pudiera volver a sufrir el precio del vehículo, en armonía a lo ordenado por esta Alzada en tutela del principio de la reparación integral, y en resguardo de la consumidora damnificada frente a las demoras deliberadamente generadas por los accionados.    </w:t>
      </w:r>
    </w:p>
    <w:p>
      <w:pPr>
        <w:pStyle w:val="[Normal]"/>
        <w:spacing w:line="360" w:lineRule="auto"/>
        <w:ind w:firstLine="1134"/>
        <w:jc w:val="both"/>
        <w:rPr>
          <w:lang w:val="es-AR" w:eastAsia="es-AR" w:bidi="es-AR"/>
        </w:rPr>
      </w:pPr>
      <w:r>
        <w:rPr>
          <w:lang w:val="es-AR" w:eastAsia="es-AR" w:bidi="es-AR"/>
        </w:rPr>
        <w:t xml:space="preserve">  Que al día siguiente de dicho pedido, el a-quo rechazó, en el último párrafo de la resolución atacada, tal petición y aprobó la liquidación de fecha 26/06/2020, considerando a lo peticionado como una mera actualización de intereses  que podría ser planteada en lo sucesivo.</w:t>
      </w:r>
    </w:p>
    <w:p>
      <w:pPr>
        <w:pStyle w:val="[Normal]"/>
        <w:spacing w:line="360" w:lineRule="auto"/>
        <w:ind w:firstLine="1134"/>
        <w:jc w:val="both"/>
        <w:rPr>
          <w:lang w:val="es-AR" w:eastAsia="es-AR" w:bidi="es-AR"/>
        </w:rPr>
      </w:pPr>
      <w:r>
        <w:rPr>
          <w:lang w:val="es-AR" w:eastAsia="es-AR" w:bidi="es-AR"/>
        </w:rPr>
        <w:t xml:space="preserve">De tal modo entiende que el juzgador anterior aprobó una liquidación calculada a un valor depreciado de la unidad adquirida, incumpliendo a su entender con la condena de éste Tribunal  que expresamente obligaba a los accionados a reintegrar el valor actualizado correspondiente al vehículo contratado en el negocio primigenio, dando cumplimiento así al principio de la reparación integral de los daños ocasionados.</w:t>
      </w:r>
    </w:p>
    <w:p>
      <w:pPr>
        <w:pStyle w:val="[Normal]"/>
        <w:spacing w:line="360" w:lineRule="auto"/>
        <w:ind w:firstLine="1134"/>
        <w:jc w:val="both"/>
        <w:rPr>
          <w:lang w:val="es-AR" w:eastAsia="es-AR" w:bidi="es-AR"/>
        </w:rPr>
      </w:pPr>
      <w:r>
        <w:rPr>
          <w:lang w:val="es-AR" w:eastAsia="es-AR" w:bidi="es-AR"/>
        </w:rPr>
        <w:t xml:space="preserve">En otro orden, cuestiona la base arancelaria tomada para regular los honorarios de los profesionales intervinientes por los trabajos que realizaran en autos.</w:t>
      </w:r>
    </w:p>
    <w:p>
      <w:pPr>
        <w:pStyle w:val="[Normal]"/>
        <w:spacing w:line="360" w:lineRule="auto"/>
        <w:ind w:firstLine="1134"/>
        <w:jc w:val="both"/>
        <w:rPr>
          <w:lang w:val="es-AR" w:eastAsia="es-AR" w:bidi="es-AR"/>
        </w:rPr>
      </w:pPr>
      <w:r>
        <w:rPr>
          <w:lang w:val="es-AR" w:eastAsia="es-AR" w:bidi="es-AR"/>
        </w:rPr>
        <w:t xml:space="preserve">Por último, se agravia de los honorarios fijados en su favor por la incidencia resuelta a través de la resolución en crisis, tildándolos de bajos.</w:t>
      </w:r>
    </w:p>
    <w:p>
      <w:pPr>
        <w:pStyle w:val="[Normal]"/>
        <w:spacing w:line="360" w:lineRule="auto"/>
        <w:ind w:firstLine="1134"/>
        <w:jc w:val="both"/>
        <w:rPr>
          <w:lang w:val="es-AR" w:eastAsia="es-AR" w:bidi="es-AR"/>
        </w:rPr>
      </w:pPr>
      <w:r>
        <w:rPr>
          <w:lang w:val="es-AR" w:eastAsia="es-AR" w:bidi="es-AR"/>
        </w:rPr>
        <w:t xml:space="preserve">Conferidos los traslados pertinentes, quedaron incontestados por las demandadas a quienes se dio por perdido el derecho que han dejado de usar.</w:t>
      </w:r>
    </w:p>
    <w:p>
      <w:pPr>
        <w:pStyle w:val="[Normal]"/>
        <w:spacing w:line="360" w:lineRule="auto"/>
        <w:ind w:firstLine="1134"/>
        <w:jc w:val="both"/>
        <w:rPr>
          <w:lang w:val="es-AR" w:eastAsia="es-AR" w:bidi="es-AR"/>
        </w:rPr>
      </w:pPr>
      <w:r>
        <w:rPr>
          <w:lang w:val="es-AR" w:eastAsia="es-AR" w:bidi="es-AR"/>
        </w:rPr>
        <w:t xml:space="preserve">En fecha 2/3/2021 se dictó el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Entrando a resolver, adelanto opinión en cuanto a que no lleva razón la queja introducida en relación a la liquidación aprobada en la primera instancia.</w:t>
      </w:r>
    </w:p>
    <w:p>
      <w:pPr>
        <w:pStyle w:val="[Normal]"/>
        <w:spacing w:line="360" w:lineRule="auto"/>
        <w:ind w:firstLine="1134"/>
        <w:jc w:val="both"/>
        <w:rPr>
          <w:lang w:val="es-AR" w:eastAsia="es-AR" w:bidi="es-AR"/>
        </w:rPr>
      </w:pPr>
      <w:r>
        <w:rPr>
          <w:lang w:val="es-AR" w:eastAsia="es-AR" w:bidi="es-AR"/>
        </w:rPr>
        <w:t xml:space="preserve">Es que la controversia resuelta en el interlocutorio recurrido, versó justamente entre las dos posiciones propuestas por las partes acerca de la liquidación practicada, luego de la sustanciación respectiva, dando razón la misma a la impugnación formulada oportunamente por la parte actora, aprobando en consecuencia " </w:t>
      </w:r>
      <w:r>
        <w:rPr>
          <w:i/>
          <w:lang w:val="es-AR" w:eastAsia="es-AR" w:bidi="es-AR"/>
        </w:rPr>
        <w:t xml:space="preserve">la liquidación practicada en la presentación electrónica de fecha 26/06/2020, en la suma total de UN MILLON DE PESOS CIENTO SESENTA Y CINCO MIL OCHOCIENTOS DIEZ  CON 01/100 centavos ($ 1.165.810.01</w:t>
      </w:r>
      <w:r>
        <w:rPr>
          <w:lang w:val="es-AR" w:eastAsia="es-AR" w:bidi="es-AR"/>
        </w:rPr>
        <w:t xml:space="preserve">)."(aclaratoria de fecha 9/11/2020).</w:t>
      </w:r>
    </w:p>
    <w:p>
      <w:pPr>
        <w:pStyle w:val="[Normal]"/>
        <w:spacing w:line="360" w:lineRule="auto"/>
        <w:ind w:firstLine="1134"/>
        <w:jc w:val="both"/>
        <w:rPr>
          <w:lang w:val="es-AR" w:eastAsia="es-AR" w:bidi="es-AR"/>
        </w:rPr>
      </w:pPr>
      <w:r>
        <w:rPr>
          <w:lang w:val="es-AR" w:eastAsia="es-AR" w:bidi="es-AR"/>
        </w:rPr>
        <w:t xml:space="preserve">Lo que pretende ahora la accionante es reeditar una cuestión que quedó sellada al presentarse las postulaciones de ambas partes, y resolverse en consecuencia, lo cual no procede tal como lo señala el juez a quo en el párrafo final del auto en cuestión.</w:t>
      </w:r>
    </w:p>
    <w:p>
      <w:pPr>
        <w:pStyle w:val="[Normal]"/>
        <w:spacing w:line="360" w:lineRule="auto"/>
        <w:ind w:firstLine="1134"/>
        <w:jc w:val="both"/>
        <w:rPr>
          <w:lang w:val="es-AR" w:eastAsia="es-AR" w:bidi="es-AR"/>
        </w:rPr>
      </w:pPr>
      <w:r>
        <w:rPr>
          <w:lang w:val="es-AR" w:eastAsia="es-AR" w:bidi="es-AR"/>
        </w:rPr>
        <w:t xml:space="preserve">Es que la aprobación se hizo de acuerdo a los valores tomados por las partes en la contienda que finalizara con la aprobación de la liquidación en la forma propuesta por la ahora apelante.</w:t>
      </w:r>
    </w:p>
    <w:p>
      <w:pPr>
        <w:pStyle w:val="[Normal]"/>
        <w:spacing w:line="360" w:lineRule="auto"/>
        <w:ind w:firstLine="1134"/>
        <w:jc w:val="both"/>
        <w:rPr>
          <w:lang w:val="es-AR" w:eastAsia="es-AR" w:bidi="es-AR"/>
        </w:rPr>
      </w:pPr>
      <w:r>
        <w:rPr>
          <w:lang w:val="es-AR" w:eastAsia="es-AR" w:bidi="es-AR"/>
        </w:rPr>
        <w:t xml:space="preserve">Ello en concordancia con la sentencia de esta Alzada que estableció el reintegro del valor actualizado del vehículo, pero a la fecha en que se liquida la deuda judicialmente, para luego de la intimación y hasta el efectivo pago, aplicarse los intereses correspondientes, tal como refiere el Juzgador en la última parte del decisorio de fecha 2/10/2020.</w:t>
      </w:r>
    </w:p>
    <w:p>
      <w:pPr>
        <w:pStyle w:val="[Normal]"/>
        <w:spacing w:line="360" w:lineRule="auto"/>
        <w:ind w:firstLine="1134"/>
        <w:jc w:val="both"/>
        <w:rPr>
          <w:lang w:val="es-AR" w:eastAsia="es-AR" w:bidi="es-AR"/>
        </w:rPr>
      </w:pPr>
      <w:r>
        <w:rPr>
          <w:lang w:val="es-AR" w:eastAsia="es-AR" w:bidi="es-AR"/>
        </w:rPr>
        <w:t xml:space="preserve">De lo contrario, la cuestión quedaría en un circulo sin fin; por ello cuando se establecen deudas de valor, quedan transformadas</w:t>
      </w:r>
      <w:r>
        <w:rPr>
          <w:b/>
          <w:lang w:val="es-AR" w:eastAsia="es-AR" w:bidi="es-AR"/>
        </w:rPr>
        <w:t xml:space="preserve"> </w:t>
      </w:r>
      <w:r>
        <w:rPr>
          <w:lang w:val="es-AR" w:eastAsia="es-AR" w:bidi="es-AR"/>
        </w:rPr>
        <w:t xml:space="preserve">en definitiva para su cumplimiento en deudas de dinero una vez que se efectúa en la liquidación, la traducción del valor correspondiente, a una cantidad de unidades monetarias (art.772 del CCCN; confr. comentario a dicho artículo en Alterini, Jorge CCCN, Trat. Exegético, T.IV, pág. 224, ed. 2015), dándole cierre el respectivo pronunciamiento que la aprueba, con la eventual actuación en su caso de la previsión contenida en el inc. c) del art. 770 del CCCN.</w:t>
      </w:r>
    </w:p>
    <w:p>
      <w:pPr>
        <w:pStyle w:val="[Normal]"/>
        <w:spacing w:line="360" w:lineRule="auto"/>
        <w:ind w:firstLine="1134"/>
        <w:jc w:val="both"/>
        <w:rPr>
          <w:lang w:val="es-AR" w:eastAsia="es-AR" w:bidi="es-AR"/>
        </w:rPr>
      </w:pPr>
      <w:r>
        <w:rPr>
          <w:lang w:val="es-AR" w:eastAsia="es-AR" w:bidi="es-AR"/>
        </w:rPr>
        <w:t xml:space="preserve"> En otro orden, es sabido que</w:t>
      </w:r>
      <w:r>
        <w:rPr>
          <w:b/>
          <w:lang w:val="es-AR" w:eastAsia="es-AR" w:bidi="es-AR"/>
        </w:rPr>
        <w:t xml:space="preserve"> </w:t>
      </w:r>
      <w:r>
        <w:rPr>
          <w:lang w:val="es-AR" w:eastAsia="es-AR" w:bidi="es-AR"/>
        </w:rPr>
        <w:t xml:space="preserve">"</w:t>
      </w:r>
      <w:r>
        <w:rPr>
          <w:i/>
          <w:lang w:val="es-AR" w:eastAsia="es-AR" w:bidi="es-AR"/>
        </w:rPr>
        <w:t xml:space="preserve">En un contexto de indexación prohibida, condenas judiciales necesariamente dinerarias y pagos que siempre son posteriores a la "conversión" (puesto que el pleito siempre presupone un deudor que no se reconoce como tal y que no quiere o no puede pagar), el último mecanismo disponible para mantener el valor del crédito termina siendo el interés moratorio que fije el juez, siempre que no hubiere tasa pactada o legal aplicable. El interés por mora procura indemnizar al acreedor por el perjuicio derivado del pago tardío del capital, pero, en épocas de aguda inflación, este accesorio pasa a cumplir (o digamos mejor, los litigantes reclaman y los jueces le asignan) una función-finalidad que no le es propia: mantener el contenido económico del capital de condena.</w:t>
      </w:r>
      <w:r>
        <w:rPr>
          <w:lang w:val="es-AR" w:eastAsia="es-AR" w:bidi="es-AR"/>
        </w:rPr>
        <w:t xml:space="preserve">" ("Deudas de valor, inflación y cuantificación de daños personales: la Suprema Corte brinda una importante pauta de trabajo para operar con fórmulas matemáticas", Marino, Tomás - LA LEY 15/09/2020, 15/09/2020, 5 - RCyS 2020-XI, 45 - Cita Online: AR/DOC/2693/2020).</w:t>
      </w:r>
    </w:p>
    <w:p>
      <w:pPr>
        <w:pStyle w:val="[Normal]"/>
        <w:spacing w:line="360" w:lineRule="auto"/>
        <w:ind w:firstLine="1134"/>
        <w:jc w:val="both"/>
        <w:rPr>
          <w:lang w:val="es-AR" w:eastAsia="es-AR" w:bidi="es-AR"/>
        </w:rPr>
      </w:pPr>
      <w:r>
        <w:rPr>
          <w:lang w:val="es-AR" w:eastAsia="es-AR" w:bidi="es-AR"/>
        </w:rPr>
        <w:t xml:space="preserve">Es así, que no es acertada la apreciación de la apelante, en cuanto a que " EL RESOLUTORIO NO CUMPLE CON LA SENTENCIA DE ALZADA QUE CONDENÓ A LOS ACCIONADOS AL REINTEGRO DEL VALOR ACTUALIZADO DEL VEHÍCULO CONTRATADO EN EL NEGOCIO PRIMIGENIO" ya que aquél fue el parámetro seguido luego de trabada la cuestión respectiva con los traslados pertinentes, definiéndose en la instancia anterior al hacer lugar a la impugnación y aprobar la liquidación, con lo cual se cierra esta porción del recurso.</w:t>
      </w:r>
    </w:p>
    <w:p>
      <w:pPr>
        <w:pStyle w:val="[Normal]"/>
        <w:spacing w:line="360" w:lineRule="auto"/>
        <w:ind w:firstLine="1134"/>
        <w:jc w:val="both"/>
        <w:rPr>
          <w:lang w:val="es-AR" w:eastAsia="es-AR" w:bidi="es-AR"/>
        </w:rPr>
      </w:pPr>
      <w:r>
        <w:rPr>
          <w:lang w:val="es-AR" w:eastAsia="es-AR" w:bidi="es-AR"/>
        </w:rPr>
        <w:t xml:space="preserve">Ahora, en punto a las críticas dirigidas contra las regulaciones de honorarios practicadas mediante el decisorio apelado, advirtiéndose que éste último no ha sido notificado a las condenadas en costas, estimo cabe diferir su tratamiento hasta tanto se de debido cumplimiento a tal extremo (art. 54 L.H.P.).</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Dres.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en punto a la critica ensayada contra la liquidación aprobada por el juez de grado, y en consecuencia confirmar la sentencia de primera instancia sobre el particular.</w:t>
      </w:r>
    </w:p>
    <w:p>
      <w:pPr>
        <w:pStyle w:val="[Normal]"/>
        <w:spacing w:line="360" w:lineRule="auto"/>
        <w:ind w:firstLine="1134"/>
        <w:jc w:val="both"/>
        <w:rPr>
          <w:lang w:val="es-AR" w:eastAsia="es-AR" w:bidi="es-AR"/>
        </w:rPr>
      </w:pPr>
      <w:r>
        <w:rPr>
          <w:lang w:val="es-AR" w:eastAsia="es-AR" w:bidi="es-AR"/>
        </w:rPr>
        <w:t xml:space="preserve">Costas a la actora apelante que resulta vencida (Art. 68 del C.P.C. y C.).-</w:t>
      </w:r>
    </w:p>
    <w:p>
      <w:pPr>
        <w:pStyle w:val="[Normal]"/>
        <w:spacing w:line="360" w:lineRule="auto"/>
        <w:ind w:firstLine="1134"/>
        <w:jc w:val="both"/>
        <w:rPr>
          <w:lang w:val="es-AR" w:eastAsia="es-AR" w:bidi="es-AR"/>
        </w:rPr>
      </w:pPr>
      <w:r>
        <w:rPr>
          <w:lang w:val="es-AR" w:eastAsia="es-AR" w:bidi="es-AR"/>
        </w:rPr>
        <w:t xml:space="preserve">Diferir el tratamiento de las críticas dirigidas contra las regulaciones de honorarios practicadas mediante el decisorio apelado, hasta tanto éste último sea debidamente notificado a las condenadas en costas (art. 54 L.H.P.).</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Dres.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en punto a la critica ensayada contra la liquidación aprobada por el juez de grado, y en consecuencia confirmar la sentencia de primera instancia sobre el particular.</w:t>
      </w:r>
    </w:p>
    <w:p>
      <w:pPr>
        <w:pStyle w:val="[Normal]"/>
        <w:spacing w:line="360" w:lineRule="auto"/>
        <w:ind w:firstLine="1134"/>
        <w:jc w:val="both"/>
        <w:rPr>
          <w:lang w:val="es-AR" w:eastAsia="es-AR" w:bidi="es-AR"/>
        </w:rPr>
      </w:pPr>
      <w:r>
        <w:rPr>
          <w:lang w:val="es-AR" w:eastAsia="es-AR" w:bidi="es-AR"/>
        </w:rPr>
        <w:t xml:space="preserve">Costas a la actora apelante que resulta vencida (Art. 68 del C.P.C. y C.).-</w:t>
      </w:r>
    </w:p>
    <w:p>
      <w:pPr>
        <w:pStyle w:val="[Normal]"/>
        <w:spacing w:line="360" w:lineRule="auto"/>
        <w:ind w:firstLine="1134"/>
        <w:jc w:val="both"/>
        <w:rPr>
          <w:b/>
          <w:lang w:val="es-AR" w:eastAsia="es-AR" w:bidi="es-AR"/>
        </w:rPr>
      </w:pPr>
      <w:r>
        <w:rPr>
          <w:lang w:val="es-AR" w:eastAsia="es-AR" w:bidi="es-AR"/>
        </w:rPr>
        <w:t xml:space="preserve">Diferir el tratamiento de las críticas dirigidas contra las regulaciones de honorarios practicadas mediante el decisorio apelado, hasta tanto éste último</w:t>
      </w:r>
      <w:r>
        <w:rPr>
          <w:b/>
          <w:lang w:val="es-AR" w:eastAsia="es-AR" w:bidi="es-AR"/>
        </w:rPr>
        <w:t xml:space="preserve"> </w:t>
      </w:r>
      <w:r>
        <w:rPr>
          <w:lang w:val="es-AR" w:eastAsia="es-AR" w:bidi="es-AR"/>
        </w:rPr>
        <w:t xml:space="preserve">sea debidamente notificado a las condenadas en costas (art. 54 L.H.P.)</w:t>
      </w:r>
      <w:r>
        <w:rPr>
          <w:b/>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20250122765@NOTIFICACIONES.SCBA.GOV.AR</w:t>
      </w:r>
    </w:p>
    <w:p>
      <w:pPr>
        <w:pStyle w:val="[Normal]"/>
        <w:rPr>
          <w:color w:val="000000"/>
          <w:lang w:val="es-AR" w:eastAsia="es-AR" w:bidi="es-AR"/>
        </w:rPr>
      </w:pPr>
      <w:r>
        <w:rPr>
          <w:color w:val="000000"/>
          <w:lang w:val="es-AR" w:eastAsia="es-AR" w:bidi="es-AR"/>
        </w:rPr>
        <w:t xml:space="preserve">20167480463@NOTIFICACIONES.SCBA.GOV.AR</w:t>
      </w:r>
    </w:p>
    <w:p>
      <w:pPr>
        <w:pStyle w:val="[Normal]"/>
        <w:rPr>
          <w:color w:val="000000"/>
          <w:lang w:val="es-AR" w:eastAsia="es-AR" w:bidi="es-AR"/>
        </w:rPr>
      </w:pPr>
      <w:r>
        <w:rPr>
          <w:color w:val="000000"/>
          <w:lang w:val="es-AR" w:eastAsia="es-AR" w:bidi="es-AR"/>
        </w:rPr>
        <w:t xml:space="preserve">20292594675@NOTIFICACIONES.SCBA.GOV.AR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10:04:11 -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10:11:46 -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10:39:52 -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15/04/2021 11:48:57 -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20167480463@NOTIFICACIONES.SCBA.GOV.AR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20250122765@NOTIFICACIONES.SCBA.GOV.AR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20292594675@NOTIFICACIONES.SCBA.GOV.AR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‰8è")è%-:À0Š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240002090005132695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3631 - 19 - FLORES NORMA BEATRIZ C/ MONTANARI AUTOMOTORES S.A. Y OTROS S/DAÑOS Y PERJ. AUTOM. S/LESIONES (EXC. ESTADO)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‰8è")è%-:À0Š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240002090005132695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