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lang w:val="es-AR" w:eastAsia="es-AR" w:bidi="es-AR"/>
        </w:rPr>
      </w:pPr>
      <w:r>
        <w:rPr>
          <w:b/>
          <w:lang w:val="es-AR" w:eastAsia="es-AR" w:bidi="es-AR"/>
        </w:rPr>
        <w:t xml:space="preserve">	Registro N° 40 /2021</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199/203</w:t>
      </w:r>
    </w:p>
    <w:p>
      <w:pPr>
        <w:pStyle w:val="[Normal]"/>
        <w:spacing w:line="360" w:lineRule="auto"/>
        <w:jc w:val="both"/>
        <w:rPr>
          <w:lang w:val="es-AR" w:eastAsia="es-AR" w:bidi="es-AR"/>
        </w:rPr>
      </w:pPr>
    </w:p>
    <w:p>
      <w:pPr>
        <w:pStyle w:val="[Normal]"/>
        <w:spacing w:line="360" w:lineRule="auto"/>
        <w:ind w:firstLine="1134"/>
        <w:jc w:val="both"/>
        <w:rPr>
          <w:b/>
          <w:u w:val="single"/>
          <w:lang w:val="es-AR" w:eastAsia="es-AR" w:bidi="es-AR"/>
        </w:rPr>
      </w:pPr>
      <w:r>
        <w:rPr>
          <w:lang w:val="es-AR" w:eastAsia="es-AR" w:bidi="es-AR"/>
        </w:rPr>
        <w:t xml:space="preserve">En la ciudad de Pergamino, el 15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4106-20</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GINESTRA JORGE GUSTAVO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74503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jc w:val="both"/>
        <w:rPr>
          <w:lang w:val="es-AR" w:eastAsia="es-AR" w:bidi="es-AR"/>
        </w:rPr>
      </w:pPr>
      <w:r>
        <w:rPr>
          <w:lang w:val="es-AR" w:eastAsia="es-AR" w:bidi="es-AR"/>
        </w:rPr>
        <w:t xml:space="preserve">	El señor Juez de la anterior sede falló esta causa de trance y remate, rechazando la excepción de inhabilidad de título deducida y mandando llevar adelante la ejecución hasta tanto el ejecutado Jorge Gustavo Ginestra haga al acreedor Banco de la Provincia de Buenos Aires íntegro pago del capital reclamado de PESOS </w:t>
      </w:r>
      <w:r>
        <w:rPr>
          <w:color w:val="000000"/>
          <w:lang w:val="es-AR" w:eastAsia="es-AR" w:bidi="es-AR"/>
        </w:rPr>
        <w:t xml:space="preserve">CUATROCIENTOS VEINTICINCO MIL QUINIENTOS VEINTICINCO CON 66/100 ($425.525,66)</w:t>
      </w:r>
      <w:r>
        <w:rPr>
          <w:lang w:val="es-AR" w:eastAsia="es-AR" w:bidi="es-AR"/>
        </w:rPr>
        <w:t xml:space="preserve">, con más los intereses liquidados en la forma pactada, desde el día de la mora: 31-01-19, con la salvedad de que se evaluará si los mismos son excesivos y contrarios a la moral y buenas costumbres. en el momento procesal de examinar la liquidación, teniendo en cuenta lo que disponen los arts. 10, 279, 725, 794 y ccs del CCCN.-</w:t>
      </w:r>
    </w:p>
    <w:p>
      <w:pPr>
        <w:pStyle w:val="[Normal]"/>
        <w:spacing w:line="360" w:lineRule="auto"/>
        <w:ind w:firstLine="1134"/>
        <w:jc w:val="both"/>
        <w:rPr>
          <w:color w:val="000000"/>
          <w:lang w:val="es-AR" w:eastAsia="es-AR" w:bidi="es-AR"/>
        </w:rPr>
      </w:pPr>
      <w:r>
        <w:rPr>
          <w:lang w:val="es-AR" w:eastAsia="es-AR" w:bidi="es-AR"/>
        </w:rPr>
        <w:t xml:space="preserve">Disconforme con lo resuelto, apela el demandado</w:t>
      </w:r>
      <w:r>
        <w:rPr>
          <w:color w:val="000000"/>
          <w:lang w:val="es-AR" w:eastAsia="es-AR" w:bidi="es-AR"/>
        </w:rPr>
        <w:t xml:space="preserve"> mediante escrito electrónico de fecha 13-10-20, concedido el recurso en relación el 16-10-2020, fundado en el acto de su interposición, habiendo la contraria contestado el traslado conferido el día  21-10-2020.- </w:t>
      </w:r>
    </w:p>
    <w:p>
      <w:pPr>
        <w:pStyle w:val="[Normal]"/>
        <w:spacing w:line="360" w:lineRule="auto"/>
        <w:ind w:firstLine="1134"/>
        <w:jc w:val="both"/>
        <w:rPr>
          <w:color w:val="000000"/>
          <w:lang w:val="es-AR" w:eastAsia="es-AR" w:bidi="es-AR"/>
        </w:rPr>
      </w:pPr>
      <w:r>
        <w:rPr>
          <w:color w:val="000000"/>
          <w:lang w:val="es-AR" w:eastAsia="es-AR" w:bidi="es-AR"/>
        </w:rPr>
        <w:t xml:space="preserve">Elevados los autos, se llama autos para resolver el 29-10-2020, providencia que firme a la fecha deja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La recurrente se agravia del decisorio atacado en cuanto tuvo por cumplidos los recaudos establecidos por el articulo 36 de la ley de defensa del consumidor, y  por consiguiente la obligación de dar debida información al tomador del crédito, esgrimiendo que tal circunstancia no se condice con la documentación arrimada.-</w:t>
      </w:r>
    </w:p>
    <w:p>
      <w:pPr>
        <w:pStyle w:val="[Normal]"/>
        <w:spacing w:line="360" w:lineRule="auto"/>
        <w:ind w:firstLine="1134"/>
        <w:jc w:val="both"/>
        <w:rPr>
          <w:color w:val="000000"/>
          <w:lang w:val="es-AR" w:eastAsia="es-AR" w:bidi="es-AR"/>
        </w:rPr>
      </w:pPr>
      <w:r>
        <w:rPr>
          <w:color w:val="000000"/>
          <w:lang w:val="es-AR" w:eastAsia="es-AR" w:bidi="es-AR"/>
        </w:rPr>
        <w:t xml:space="preserve">Sobre el particular, refiere que a simple vista no se advierte la suma a abonar, destacando que la misma mes a mes difería ampliamente de las condiciones pactadas y publicitadas.-</w:t>
      </w:r>
    </w:p>
    <w:p>
      <w:pPr>
        <w:pStyle w:val="[Normal]"/>
        <w:spacing w:line="360" w:lineRule="auto"/>
        <w:ind w:firstLine="1134"/>
        <w:jc w:val="both"/>
        <w:rPr>
          <w:color w:val="000000"/>
          <w:lang w:val="es-AR" w:eastAsia="es-AR" w:bidi="es-AR"/>
        </w:rPr>
      </w:pPr>
      <w:r>
        <w:rPr>
          <w:color w:val="000000"/>
          <w:lang w:val="es-AR" w:eastAsia="es-AR" w:bidi="es-AR"/>
        </w:rPr>
        <w:t xml:space="preserve">Entiende que ello así, se encuentra conculcado el derecho a la información acogido en la normativa de referencia como así también en el CCYC, explayándose al respecto.-</w:t>
      </w:r>
    </w:p>
    <w:p>
      <w:pPr>
        <w:pStyle w:val="[Normal]"/>
        <w:spacing w:line="360" w:lineRule="auto"/>
        <w:ind w:firstLine="1134"/>
        <w:jc w:val="both"/>
        <w:rPr>
          <w:b/>
          <w:color w:val="000000"/>
          <w:lang w:val="es-AR" w:eastAsia="es-AR" w:bidi="es-AR"/>
        </w:rPr>
      </w:pPr>
      <w:r>
        <w:rPr>
          <w:color w:val="000000"/>
          <w:lang w:val="es-AR" w:eastAsia="es-AR" w:bidi="es-AR"/>
        </w:rPr>
        <w:t xml:space="preserve">Por lo expuesto, peticiona se deje sin efecto al fallo apelado, con costas a la actora.-</w:t>
      </w:r>
    </w:p>
    <w:p>
      <w:pPr>
        <w:pStyle w:val="[Normal]"/>
        <w:spacing w:line="360" w:lineRule="auto"/>
        <w:ind w:firstLine="1134"/>
        <w:jc w:val="both"/>
        <w:rPr>
          <w:b/>
          <w:color w:val="000000"/>
          <w:lang w:val="es-AR" w:eastAsia="es-AR" w:bidi="es-AR"/>
        </w:rPr>
      </w:pPr>
      <w:r>
        <w:rPr>
          <w:color w:val="000000"/>
          <w:lang w:val="es-AR" w:eastAsia="es-AR" w:bidi="es-AR"/>
        </w:rPr>
        <w:t xml:space="preserve">La contraria, al contestar el traslado conferido, impetra se declare desierta la apelación en tanto el memorial allegado carece de una critica concreta y razonada del fallo en crisis. En subsidio, sostiene que en la especie se encuentra debidamente acreditado el cumplimiento de los recaudos exigidos por el articulo 36 de la ley de defensa del consumidor, peticionando el rechazo del recurso interpuesto.-</w:t>
      </w:r>
    </w:p>
    <w:p>
      <w:pPr>
        <w:pStyle w:val="[Normal]"/>
        <w:spacing w:line="360" w:lineRule="auto"/>
        <w:ind w:firstLine="1134"/>
        <w:jc w:val="both"/>
        <w:rPr>
          <w:color w:val="000000"/>
          <w:lang w:val="es-AR" w:eastAsia="es-AR" w:bidi="es-AR"/>
        </w:rPr>
      </w:pPr>
      <w:r>
        <w:rPr>
          <w:color w:val="000000"/>
          <w:lang w:val="es-AR" w:eastAsia="es-AR" w:bidi="es-AR"/>
        </w:rPr>
        <w:t xml:space="preserve">Ya en tarea, liminarmente cabe recordar que debe prevalecer un criterio amplio en la apreciación de los requisitos que debe cumplir la expresión de agravios, conforme el aseguramiento de la defensa en juicio previsto en el art. 18 de la Constitución Nacional. Analizadas las constancias de la causa, entiendo que en la especie el memorial presentado por la demandada reúne las condiciones técnicas exigidas por  los arts. 246 y 260 del CPC, desde que  contiene una crítica concreta y razonada de las partes del fallo que considera equivocadas, suministrando los argumentos jurídicos destinados a desmerecerlas (Cfr. Morello Códigos Procesales, pág 204 T III).- </w:t>
      </w:r>
    </w:p>
    <w:p>
      <w:pPr>
        <w:pStyle w:val="[Normal]"/>
        <w:spacing w:line="360" w:lineRule="auto"/>
        <w:ind w:firstLine="1134"/>
        <w:jc w:val="both"/>
        <w:rPr>
          <w:lang w:val="es-AR" w:eastAsia="es-AR" w:bidi="es-AR"/>
        </w:rPr>
      </w:pPr>
      <w:r>
        <w:rPr>
          <w:lang w:val="es-AR" w:eastAsia="es-AR" w:bidi="es-AR"/>
        </w:rPr>
        <w:t xml:space="preserve">Ahora, aclarado ello y en atención a la crítica ensayada, he de pasar a meritar si en el caso de marras se encuentran debidamente cumplimentados los recaudos establecidos por el artículo 36 de la Ley de Defensa del Consumidor que tienden a proteger a los consumidores, y hacen a la habilidad del titulo traído. Esto es, la individualización clara de: la descripción del bien o servicio contratado; el precio al contado del mismo, el pago inicial, en caso de que el precio se hubiera desdoblado en un pago a cuenta y el saldo financiado; la tasa de interés efectiva anual; el costo financiero total, el sistema de amortización del capital y de los intereses; la cantidad, periodicidad y montos de los pagos a realizar y los gastos extras que hubiere.-</w:t>
      </w:r>
    </w:p>
    <w:p>
      <w:pPr>
        <w:pStyle w:val="[Normal]"/>
        <w:spacing w:line="360" w:lineRule="auto"/>
        <w:ind w:firstLine="1134"/>
        <w:jc w:val="both"/>
        <w:rPr>
          <w:lang w:val="es-AR" w:eastAsia="es-AR" w:bidi="es-AR"/>
        </w:rPr>
      </w:pPr>
      <w:r>
        <w:rPr>
          <w:lang w:val="es-AR" w:eastAsia="es-AR" w:bidi="es-AR"/>
        </w:rPr>
        <w:t xml:space="preserve">Y estimo que luego de analizar minuciosamente los datos consignados en la documentación arrimada al libelo de inicio -contrato de préstamo bancario-, en la especie se encuentra suficientemente acreditado el cumplimiento de la obligación de dar debida información al tomador del crédito.-</w:t>
      </w:r>
    </w:p>
    <w:p>
      <w:pPr>
        <w:pStyle w:val="[Normal]"/>
        <w:spacing w:line="360" w:lineRule="auto"/>
        <w:ind w:firstLine="1134"/>
        <w:jc w:val="both"/>
        <w:rPr>
          <w:lang w:val="es-AR" w:eastAsia="es-AR" w:bidi="es-AR"/>
        </w:rPr>
      </w:pPr>
      <w:r>
        <w:rPr>
          <w:lang w:val="es-AR" w:eastAsia="es-AR" w:bidi="es-AR"/>
        </w:rPr>
        <w:t xml:space="preserve">Pues con la documental de referencia se han individualizado de manera clara la totalidad de los requisitos exigidos en el art. 36 de la normativa consumeril. En consecuencia deviene hábil el título base de la presente ejecución.-</w:t>
      </w:r>
    </w:p>
    <w:p>
      <w:pPr>
        <w:pStyle w:val="[Normal]"/>
        <w:spacing w:line="360" w:lineRule="auto"/>
        <w:ind w:firstLine="1134"/>
        <w:jc w:val="both"/>
        <w:rPr>
          <w:lang w:val="es-AR" w:eastAsia="es-AR" w:bidi="es-AR"/>
        </w:rPr>
      </w:pPr>
      <w:r>
        <w:rPr>
          <w:lang w:val="es-AR" w:eastAsia="es-AR" w:bidi="es-AR"/>
        </w:rPr>
        <w:t xml:space="preserve">A todo evento, ha de tenerse presente que la defensa de inhabilidad de titulo opuesta fue rechazada por improcedente en razón de no haber sido desconocida la existencia de la deuda ejecutada ni cuestionada la autenticidad  de  la firma del título en que se vertebra, punto que no fuera cuestionado en la apelación en tratamiento.-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Juez Bernardo Louise dijo:</w:t>
      </w:r>
    </w:p>
    <w:p>
      <w:pPr>
        <w:pStyle w:val="[Normal]"/>
        <w:spacing w:line="360" w:lineRule="auto"/>
        <w:ind w:firstLine="1134"/>
        <w:jc w:val="both"/>
        <w:rPr>
          <w:color w:val="000000"/>
          <w:lang w:val="es-AR" w:eastAsia="es-AR" w:bidi="es-AR"/>
        </w:rPr>
      </w:pPr>
      <w:r>
        <w:rPr>
          <w:color w:val="000000"/>
          <w:lang w:val="es-AR" w:eastAsia="es-AR" w:bidi="es-AR"/>
        </w:rPr>
        <w:t xml:space="preserve">No he de compartir lo resuelto por mi colega, dadas las particularidades del caso, tanto las derivadas de la situación de pandemia y sus consecuencias económicas, como así la postura adoptada por el ejecutado de autos.</w:t>
      </w:r>
    </w:p>
    <w:p>
      <w:pPr>
        <w:pStyle w:val="[Normal]"/>
        <w:spacing w:line="360" w:lineRule="auto"/>
        <w:jc w:val="both"/>
        <w:rPr>
          <w:lang w:val="es-AR" w:eastAsia="es-AR" w:bidi="es-AR"/>
        </w:rPr>
      </w:pPr>
      <w:r>
        <w:rPr>
          <w:color w:val="000000"/>
          <w:lang w:val="es-AR" w:eastAsia="es-AR" w:bidi="es-AR"/>
        </w:rPr>
        <w:t xml:space="preserve">	En efecto </w:t>
      </w:r>
      <w:r>
        <w:rPr>
          <w:lang w:val="es-AR" w:eastAsia="es-AR" w:bidi="es-AR"/>
        </w:rPr>
        <w:t xml:space="preserve">al tiempo de oponer excepciones, la parte ejecutada da cuenta de las vicisitudes del contrato, su encarecimiento, su intención de cumplir y así expresa que "...  en todo caso corresponde el pago sea conforme a las disposiciones legales vigentes y atendiendo las circunstancias de hecho y derecho que se suscitaron en nuestro país y respetando las proyecciones anunciadas por el Estado Nacional y las entidades bancarias en ocasión de otorgarse el crédito, atendiendo particularmente las consideraciones que infra detallo..." ( sic.).</w:t>
      </w:r>
    </w:p>
    <w:p>
      <w:pPr>
        <w:pStyle w:val="[Normal]"/>
        <w:spacing w:line="360" w:lineRule="auto"/>
        <w:jc w:val="both"/>
        <w:rPr>
          <w:lang w:val="es-AR" w:eastAsia="es-AR" w:bidi="es-AR"/>
        </w:rPr>
      </w:pPr>
      <w:r>
        <w:rPr>
          <w:lang w:val="es-AR" w:eastAsia="es-AR" w:bidi="es-AR"/>
        </w:rPr>
        <w:t xml:space="preserve">	Sin perjuicio de haber quedado en minoría al resolver este Tribunal la Causa: 4085, estimo pertinente retirar lo expuesto por el Suscrito en aquella oportunidad: "... Hoy nos encontramos con un nuevo remedio: la renegociación del contrato. Esta herramienta realza otros principios, como por ejemplo el de la conservación del contrato  (establecido en varios artículos de nuestro Código) y el de la adecuación del contrato a circunstancias sobrevinientes. Asimismo podríamos llegar a sostener también que la renegociación realza el principio de la autonomía de la voluntad, siempre y cuando sean las partes las que acuerden dicha renegociación (arts. 1137, 1197 y 1200, Cód. Civil ). De esta manera, hoy la renegociación generalmente se suscita en las figuras contractuales que se prolongan en el tiempo como los contratos de duración o ejecución continuada o diferida, habiéndose generalizado su uso en los contratos internacionales ..." ( La renegociación del contrato por MARCELO C. QUAGLIA 2005 LA LEY (LITORAL) LA LEY S.A.E. e I. Id SAIJ: DASA050088). Y desde este piso de marcha se observa que la relación jurídica, en este caso la correspondiente al actor, se ha visto afectada por cuestiones ajenas a su propia voluntad y propias de la economía de un país respecto de la cual, nada puede hacer ni imputársele. Así la devaluación sufrida por la moneda argentina, impacta de lleno en el precio del valor de los autos cero kilómetro ya que cuentan con gran parte de componentes importados y como se dijera  en este tipo de contratos la cuota siempre varía de acuerdo al precio actual del automotor. Si el precio sube, la cuota siempre va a subir hasta alcanzar los porcentajes denunciados que resultan por encima de cualquier previsión.</w:t>
      </w:r>
    </w:p>
    <w:p>
      <w:pPr>
        <w:pStyle w:val="[Normal]"/>
        <w:spacing w:line="360" w:lineRule="auto"/>
        <w:ind w:firstLine="1134"/>
        <w:jc w:val="both"/>
        <w:rPr>
          <w:lang w:val="es-AR" w:eastAsia="es-AR" w:bidi="es-AR"/>
        </w:rPr>
      </w:pPr>
      <w:r>
        <w:rPr>
          <w:lang w:val="es-AR" w:eastAsia="es-AR" w:bidi="es-AR"/>
        </w:rPr>
        <w:t xml:space="preserve">A ello, ha de añadirse la mayor complejidad de la vida del común de los hombres en los distintos aspectos y sobre todo el económico (basta con ver cualquier medio de comunicación que ha de dar cuenta de la brusca caída de la actividad económica en casi todos los niveles) como consecuencia  de la pandemia desatada...".</w:t>
      </w:r>
    </w:p>
    <w:p>
      <w:pPr>
        <w:pStyle w:val="[Normal]"/>
        <w:spacing w:line="360" w:lineRule="auto"/>
        <w:ind w:firstLine="1134"/>
        <w:jc w:val="both"/>
        <w:rPr>
          <w:lang w:val="es-AR" w:eastAsia="es-AR" w:bidi="es-AR"/>
        </w:rPr>
      </w:pPr>
      <w:r>
        <w:rPr>
          <w:lang w:val="es-AR" w:eastAsia="es-AR" w:bidi="es-AR"/>
        </w:rPr>
        <w:t xml:space="preserve">Allí seguí diciendo: "... Así en este contexto de voluntad expuesto, la buena fe que debe reinar durante la vigencia de la relación contractual (961 C.C.C.)  considero que deviene razonable transcribir, por compartir en un todo y entender que concilia los intereses en juego, lo expuesto por La Cámara de Apelaciones en lo Civil y Comercial de Lomas de Zamora (Sala 1era.) con fecha 30/6/20 al dictar una resolución cautelar en las actuaciones “C, C.O. c/ F.S.A. s/ Incidente” Registro Sent. Int. 150/20, que revocó resolución de primera instancia y ordenó en el carácter de cautelar la suspensión de la obligación de pago de las cuotas por el plazo de seis (6) meses y ordenó a las partes arbitrar los medios para la adecuación judicial o extrajudicial del contrato. Y para así decidir entre otras cosas dijo:  “… Ante ese particular y excepcional contexto, cobra singular importancia la función preventiva de la responsabilidad civil incorporada a nuestro derecho con la sanción del nuevo Código Civil y Comercial de la Nación (arts. 1011, 1799, 1710, 1711, 1713, CCyC); pues se exige a los involucrados en la contienda –parte y juzgador- adoptar de buena fe medidas razonables que tiendan a evitar o disminuir la producción de daños innecesarios, o bien para no agravarlos, en el caso de ya haberse aquellos producidos. En este sentido, se ha dicho que “La tutela preventiva contractual podrá erigirse en una valiosa herramienta de resolución de conflictos obligacionales”, pues el “Código Civil y Comercial confiere el andamiaje normativo para hacer actuar la anticipación del daño, aún si la legislación procesal local no ha regulado sus vías instrumentales. Todas estas normas que habilitan la anticipación del daño en las esferas extracontractual y contractual, armonizadas con muchas otras instituciones y mecanismos jurídicos, podrán constituir un valioso aporte del derecho privado a la resolución de conflictos derivados de la emergencia por pandemia del COVID 19” ( Conf. Galdos Jorge M. “La tutela preventiva del coronavirus en el Código Civil y Comercial de la Nación”, La Ley, tapa y pág. 6, T 2020-B del 7/4/20). En correlato con ello, también establece el mismo Código que si un contrato conmutativo de ejecución diferida o permanente la prestación a cargo de una de las partes se torna excesivamente onerosa “por una alteración extraordinaria” de las circunstancias existentes al tiempo de su celebración, “sobrevenida por causas ajenas a las partes” y al riesgo asumida por la que es afectada, ésta tiene derecho a pedir ante un juez la resolución total o parcial del contrato, o su adecuación; de lo que se deduce el caso nos ocupa prima facie se ajustaría al supuesto previsto en la norma, tornando por ende verosímil el derecho alegado por el recurrente (doct. Art. 1091 CCyC). Por demás, también verificándose la existencia de una relación de consumo deviene aplicable aquí el principio según el cual las normas que regulan este tipo de relaciones deben ser aplicadas e interpretadas en el sentido más favorable al consumidor, sin dejar de soslayar que el derecho a la prevención al que antes hiciera referencia deriva de los artículos 42 y 43 de la Constitución Nacional …”.  "…El deber de prevención es uno de los temas más trascendentales que el Código Civil y Comercial ha incorporado a nuestra normativa. Ello es así, dado que en la actualidad se tiene muy claro que la mejor manera de reparar un daño, es que el daño no se produzca…” (cfr. WALDO AUGUSTO SOBRINO 23 de Junio de 2017 www.saij.gob.arSAIJ - Sistema Argentino de Información Jurídica (SAIJ). Sitio de información jurídica de la República Argentina dependiente del Ministerio de Justicia y Derechos Humanos. - Legislación Nacional y Provincial - Jurisprudencia - Decretos - Doctrina - Dictámenes PTN e INADI - Resoluciones de AFIP , IGJ, MJyDH - Ediciones - Resoluciones y Decisiones Mercosur -Tesauro de derecho www.saij.gob.ar SISTEMA ARGENTINO DE INFORMACIÓN JURÍDICA Id SAIJ: DACF170272“. “…Bien dice Eugenio Llamas Pombo que: "1) Son numerosos y difícilmente rebatibles los argumentos lógicos,  sociológicos y económicos que avalan la preferencia del "prevenir" sobre el "curar", de evitar el daño antes que resarcirlo; 2) Y además, no hay ninguna razón que impida cumplir tal misión preventiva al Derecho privado en general, y al civil en especial; 3) Constataciones ambas que, unidas al desplazamiento hacia la protección de las  víctimas de daños que en las últimas décadas ha conocido la responsabilidad civil, han llevado a una abundante y  rigurosa doctrina a predicar para dicha institución una función preventiva del daño; y no ya como mero efecto inducido o secundario de la misma, sino como finalidad directa y primaria…" (cfr. Vázquez Ferreyra, Roberto A.   Publicado en: LA LEY 11/05/2015, 11/05/2015)..." ( CAP. C. 4085 ).</w:t>
      </w:r>
    </w:p>
    <w:p>
      <w:pPr>
        <w:pStyle w:val="[Normal]"/>
        <w:spacing w:line="360" w:lineRule="auto"/>
        <w:ind w:firstLine="1134"/>
        <w:jc w:val="both"/>
        <w:rPr>
          <w:lang w:val="es-AR" w:eastAsia="es-AR" w:bidi="es-AR"/>
        </w:rPr>
      </w:pPr>
      <w:r>
        <w:rPr>
          <w:lang w:val="es-AR" w:eastAsia="es-AR" w:bidi="es-AR"/>
        </w:rPr>
        <w:t xml:space="preserve">Entonces desde este mirar es que entiendo corresponde  suspender por el plazo de </w:t>
      </w:r>
      <w:r>
        <w:rPr>
          <w:u w:val="single"/>
          <w:lang w:val="es-AR" w:eastAsia="es-AR" w:bidi="es-AR"/>
        </w:rPr>
        <w:t xml:space="preserve">dos meses (2) </w:t>
      </w:r>
      <w:r>
        <w:rPr>
          <w:lang w:val="es-AR" w:eastAsia="es-AR" w:bidi="es-AR"/>
        </w:rPr>
        <w:t xml:space="preserve">el presente proceso, dadas sus particularidades, y ordenar a las partes arbitrar y extremar los medios para la adecuación judicial o extrajudicial del contrato.</w:t>
      </w:r>
    </w:p>
    <w:p>
      <w:pPr>
        <w:pStyle w:val="[Normal]"/>
        <w:spacing w:line="360" w:lineRule="auto"/>
        <w:ind w:firstLine="1134"/>
        <w:jc w:val="both"/>
        <w:rPr>
          <w:lang w:val="es-AR" w:eastAsia="es-AR" w:bidi="es-AR"/>
        </w:rPr>
      </w:pPr>
      <w:r>
        <w:rPr>
          <w:lang w:val="es-AR" w:eastAsia="es-AR" w:bidi="es-AR"/>
        </w:rPr>
        <w:t xml:space="preserve">Las partes, teniendo en cuenta la legislación de orden público que campea la materia (derecho consumo), del que emana también el de la buena fe que debe reinar en la renegociación del contrato, para lo cual la parte fuerte  de la relación, el </w:t>
      </w:r>
      <w:r>
        <w:rPr>
          <w:i/>
          <w:u w:val="single"/>
          <w:lang w:val="es-AR" w:eastAsia="es-AR" w:bidi="es-AR"/>
        </w:rPr>
        <w:t xml:space="preserve">demandado,</w:t>
      </w:r>
      <w:r>
        <w:rPr>
          <w:lang w:val="es-AR" w:eastAsia="es-AR" w:bidi="es-AR"/>
        </w:rPr>
        <w:t xml:space="preserve"> ha de extremar los esfuerzos para comprender la nueva situación. Y en relación al </w:t>
      </w:r>
      <w:r>
        <w:rPr>
          <w:i/>
          <w:u w:val="single"/>
          <w:lang w:val="es-AR" w:eastAsia="es-AR" w:bidi="es-AR"/>
        </w:rPr>
        <w:t xml:space="preserve">actor</w:t>
      </w:r>
      <w:r>
        <w:rPr>
          <w:lang w:val="es-AR" w:eastAsia="es-AR" w:bidi="es-AR"/>
        </w:rPr>
        <w:t xml:space="preserve"> también deberá realizar el máximo de los esfuerzos posibles en el entendimiento que la situación es compleja también para la Entidad Bancaria y que la renegociación impuesta desde aquí obedece a su manifestación  de buena voluntad de renegociar y mantener vivo la relación contractual.</w:t>
      </w:r>
    </w:p>
    <w:p>
      <w:pPr>
        <w:pStyle w:val="[Normal]"/>
        <w:spacing w:line="360" w:lineRule="auto"/>
        <w:ind w:firstLine="1134"/>
        <w:jc w:val="both"/>
        <w:rPr>
          <w:lang w:val="es-AR" w:eastAsia="es-AR" w:bidi="es-AR"/>
        </w:rPr>
      </w:pPr>
      <w:r>
        <w:rPr>
          <w:lang w:val="es-AR" w:eastAsia="es-AR" w:bidi="es-AR"/>
        </w:rPr>
        <w:t xml:space="preserve"> A fin de cumplir con el presente se hace saber desde aquí a las partes que el incumplimiento en punto a la manda de intentar y esforzarse para lograr un justo acuerdo traerá aparejados astreintes que se han de determinar oportunamente.</w:t>
      </w:r>
    </w:p>
    <w:p>
      <w:pPr>
        <w:pStyle w:val="[Normal]"/>
        <w:spacing w:line="360" w:lineRule="auto"/>
        <w:ind w:firstLine="1134"/>
        <w:jc w:val="both"/>
        <w:rPr>
          <w:lang w:val="es-AR" w:eastAsia="es-AR" w:bidi="es-AR"/>
        </w:rPr>
      </w:pPr>
      <w:r>
        <w:rPr>
          <w:lang w:val="es-AR" w:eastAsia="es-AR" w:bidi="es-AR"/>
        </w:rPr>
        <w:t xml:space="preserve">El resultado al que arriben las partes, o al vencimiento del plazo lo harán saber al Tribunal y peticionarán en consecuencia. Interín considero que se debe suspender el dictado de la sentencia (Arts. 65 Ley 24.240 y sus modif., art. 961 y cc. del C.C.C., art. 36 del CPC.), sin costas en atención a la manera en que fuera resuelta la cuestión (art. 68 del CPCC).-</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votó en el mismo sentido que el Dr. Roberto Manuel Degleue.</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por mayoría, es:</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el fallo atacado en cuanto fuera materia de agravio.</w:t>
      </w:r>
    </w:p>
    <w:p>
      <w:pPr>
        <w:pStyle w:val="[Normal]"/>
        <w:spacing w:line="360" w:lineRule="auto"/>
        <w:ind w:firstLine="1134"/>
        <w:jc w:val="both"/>
        <w:rPr>
          <w:lang w:val="es-AR" w:eastAsia="es-AR" w:bidi="es-AR"/>
        </w:rPr>
      </w:pPr>
      <w:r>
        <w:rPr>
          <w:lang w:val="es-AR" w:eastAsia="es-AR" w:bidi="es-AR"/>
        </w:rPr>
        <w:t xml:space="preserve">Costas a la apelante vencida (art. 68/69 del CPCC).</w:t>
      </w:r>
    </w:p>
    <w:p>
      <w:pPr>
        <w:pStyle w:val="[Normal]"/>
        <w:spacing w:line="360" w:lineRule="auto"/>
        <w:ind w:firstLine="1134"/>
        <w:jc w:val="both"/>
        <w:rPr>
          <w:lang w:val="es-AR" w:eastAsia="es-AR" w:bidi="es-AR"/>
        </w:rPr>
      </w:pPr>
      <w:r>
        <w:rPr>
          <w:b/>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el fallo atacado en cuanto fuera materia de agravio.-</w:t>
      </w:r>
    </w:p>
    <w:p>
      <w:pPr>
        <w:pStyle w:val="[Normal]"/>
        <w:spacing w:line="360" w:lineRule="auto"/>
        <w:ind w:firstLine="1134"/>
        <w:jc w:val="both"/>
        <w:rPr>
          <w:lang w:val="es-AR" w:eastAsia="es-AR" w:bidi="es-AR"/>
        </w:rPr>
      </w:pPr>
      <w:r>
        <w:rPr>
          <w:lang w:val="es-AR" w:eastAsia="es-AR" w:bidi="es-AR"/>
        </w:rPr>
        <w:t xml:space="preserve">Costas a la apelante vencida (art. 68/69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ind w:firstLine="1134"/>
        <w:rPr>
          <w:color w:val="000000"/>
          <w:lang w:val="es-AR" w:eastAsia="es-AR" w:bidi="es-AR"/>
        </w:rPr>
      </w:pPr>
    </w:p>
    <w:p>
      <w:pPr>
        <w:pStyle w:val="[Normal]"/>
        <w:spacing w:line="360" w:lineRule="auto"/>
        <w:ind w:firstLine="1134"/>
        <w:rPr>
          <w:color w:val="000000"/>
          <w:lang w:val="es-AR" w:eastAsia="es-AR" w:bidi="es-AR"/>
        </w:rPr>
      </w:pPr>
      <w:r>
        <w:rPr>
          <w:noProof/>
          <w:color w:val="000000"/>
          <w:lang w:val="es-AR" w:eastAsia="es-AR" w:bidi="es-AR"/>
        </w:rPr>
        <w:t xml:space="preserve">23261843439@NOTIFICACIONES.SCBA.GOV.AR</w:t>
      </w:r>
      <w:r>
        <w:rPr>
          <w:color w:val="000000"/>
          <w:lang w:val="es-AR" w:eastAsia="es-AR" w:bidi="es-AR"/>
        </w:rPr>
        <w:t xml:space="preserve"> </w:t>
      </w:r>
    </w:p>
    <w:p>
      <w:pPr>
        <w:pStyle w:val="[Normal]"/>
        <w:spacing w:line="360" w:lineRule="auto"/>
        <w:ind w:firstLine="1134"/>
        <w:rPr>
          <w:color w:val="000000"/>
          <w:lang w:val="es-AR" w:eastAsia="es-AR" w:bidi="es-AR"/>
        </w:rPr>
      </w:pPr>
      <w:r>
        <w:rPr>
          <w:noProof/>
          <w:color w:val="000000"/>
          <w:lang w:val="es-AR" w:eastAsia="es-AR" w:bidi="es-AR"/>
        </w:rPr>
        <w:t xml:space="preserve">23326754099@NOTIFICACIONES.SCBA.GOV.AR</w:t>
      </w: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10:03:51 -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10:11:33 -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10:39:22 -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11:10:54 -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23326754099@NOTIFICACIONES.SCBA.GOV.AR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‰7E")è%%IFTŠ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233702090005054138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7" w:h="16834"/>
      <w:pgMar w:top="3118"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4106 - 20 - BANCO DE LA PROVINCIA DE BUENOS AIRES  C/ GINESTRA JORGE GUSTAVO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‰7E")è%%IFTŠ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233702090005054138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