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 Registro N° 48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Fojas 231/239</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22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4134-20</w:t>
      </w:r>
      <w:r>
        <w:rPr>
          <w:lang w:val="es-AR" w:eastAsia="es-AR" w:bidi="es-AR"/>
        </w:rPr>
        <w:t xml:space="preserve"> caratulados </w:t>
      </w:r>
      <w:r>
        <w:rPr>
          <w:b/>
          <w:i/>
          <w:lang w:val="es-AR" w:eastAsia="es-AR" w:bidi="es-AR"/>
        </w:rPr>
        <w:t xml:space="preserve">"</w:t>
      </w:r>
      <w:r>
        <w:rPr>
          <w:b/>
          <w:i/>
          <w:color w:val="000000"/>
          <w:lang w:val="es-AR" w:eastAsia="es-AR" w:bidi="es-AR"/>
        </w:rPr>
        <w:t xml:space="preserve">GUERRA OLGA ROSA  C/ PERGAMINO AUTOMOTORES S.A. S/CUMPLIMIENTO DE CONTRATOS CIVILES/COMERCIALES</w:t>
      </w:r>
      <w:r>
        <w:rPr>
          <w:b/>
          <w:i/>
          <w:lang w:val="es-AR" w:eastAsia="es-AR" w:bidi="es-AR"/>
        </w:rPr>
        <w:t xml:space="preserve">"</w:t>
      </w:r>
      <w:r>
        <w:rPr>
          <w:b/>
          <w:lang w:val="es-AR" w:eastAsia="es-AR" w:bidi="es-AR"/>
        </w:rPr>
        <w:t xml:space="preserve">,</w:t>
      </w:r>
      <w:r>
        <w:rPr>
          <w:lang w:val="es-AR" w:eastAsia="es-AR" w:bidi="es-AR"/>
        </w:rPr>
        <w:t xml:space="preserve"> Expte. N° </w:t>
      </w:r>
      <w:r>
        <w:rPr>
          <w:color w:val="000000"/>
          <w:lang w:val="es-AR" w:eastAsia="es-AR" w:bidi="es-AR"/>
        </w:rPr>
        <w:t xml:space="preserve">78162 </w:t>
      </w:r>
      <w:r>
        <w:rPr>
          <w:lang w:val="es-AR" w:eastAsia="es-AR" w:bidi="es-AR"/>
        </w:rPr>
        <w:t xml:space="preserve">del </w:t>
      </w:r>
      <w:r>
        <w:rPr>
          <w:color w:val="000000"/>
          <w:lang w:val="es-AR" w:eastAsia="es-AR" w:bidi="es-AR"/>
        </w:rPr>
        <w:t xml:space="preserve">Juzgado en lo Civil y Comercial N° 2 </w:t>
      </w:r>
      <w:r>
        <w:rPr>
          <w:lang w:val="es-AR" w:eastAsia="es-AR" w:bidi="es-AR"/>
        </w:rPr>
        <w:t xml:space="preserve">, encontrándose el Dr. Bernardo Louise excusado el día 01/12/2020, se ordenó la integración de este Tribunal y se practicó el sorteo de ley que determinó que la votación debía efectuarse en el siguiente orden: Graciela Scaraffia y Roberto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 Se ajusta a derecho la sentencia apelada?</w:t>
      </w:r>
    </w:p>
    <w:p>
      <w:pPr>
        <w:pStyle w:val="[Normal]"/>
        <w:spacing w:line="360" w:lineRule="auto"/>
        <w:ind w:firstLine="1134"/>
        <w:jc w:val="both"/>
        <w:rPr>
          <w:color w:val="000000"/>
          <w:lang w:val="es-AR" w:eastAsia="es-AR" w:bidi="es-AR"/>
        </w:rPr>
      </w:pPr>
      <w:r>
        <w:rPr>
          <w:color w:val="000000"/>
          <w:lang w:val="es-AR" w:eastAsia="es-AR" w:bidi="es-AR"/>
        </w:rPr>
        <w:t xml:space="preserve">II) ¿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La Sra. Jueza de la anterior instancia rechazó la demanda deducida por Olga Rosa Guerra, eximiendo de responsabilidad a Pergamino Automotores S.A., como así también a los citados como terceros Renault Argentina S.A. y Mariano Angel Fernández. Impuso las costas a la parte actora, que resultó vencida (art. 68 C.P.C.). Difirió la regulación de honorarios hasta que la presente adquiera firmeza.</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interpuesto por la actora el 27/10/2020, concedido libremente y con efectos suspensivos el 30/10/2020. El día 01/12/2020 se ordenó expresar agravios, el que fue fundado mediante el escrito electrónico de fecha 10/12/2020. con fecha 09/02/2021 se ordenó el traslado a la contraparte, evacuado el día 19/02/2021.  Con fecha 23/02/2021 llamamiento de autos, providencia, que firme a la fecha, deja la causa en condiciones de ser fallada.</w:t>
      </w:r>
    </w:p>
    <w:p>
      <w:pPr>
        <w:pStyle w:val="[Normal]"/>
        <w:spacing w:line="360" w:lineRule="auto"/>
        <w:ind w:firstLine="1134"/>
        <w:jc w:val="both"/>
        <w:rPr>
          <w:color w:val="000000"/>
          <w:lang w:val="es-AR" w:eastAsia="es-AR" w:bidi="es-AR"/>
        </w:rPr>
      </w:pPr>
      <w:r>
        <w:rPr>
          <w:color w:val="000000"/>
          <w:lang w:val="es-AR" w:eastAsia="es-AR" w:bidi="es-AR"/>
        </w:rPr>
        <w:t xml:space="preserve">1).- Se duele la apelante de la desestimación de la demanda, acudiendo a distintos puntos de queja, los que se desprenden de su presentación electrónica y que sintéticamente versan sobre :  a) achaca al operador  una errónea interpretación de los hechos,  quien a su criterio no ha considerado que su parte siempre tendió a la concreción de la operación de compra del vehículo, doliéndose asimismo de la omisión de tratamiento  de la denuncia penal que la firma demandada formalizara contra el vendedor de su propia empresa .-b) critica  la valoración realizada sobre la conducta de la actora en cuanto el magistrado le imputa la frustración de la operación; señalando que para que pueda ser considerada legalmente incumplida, la actora debió ser constituida en mora por medio fehaciente, circunstancia que nunca ocurrió.</w:t>
      </w:r>
    </w:p>
    <w:p>
      <w:pPr>
        <w:pStyle w:val="[Normal]"/>
        <w:spacing w:line="360" w:lineRule="auto"/>
        <w:ind w:firstLine="1134"/>
        <w:jc w:val="both"/>
        <w:rPr>
          <w:color w:val="000000"/>
          <w:lang w:val="es-AR" w:eastAsia="es-AR" w:bidi="es-AR"/>
        </w:rPr>
      </w:pPr>
      <w:r>
        <w:rPr>
          <w:color w:val="000000"/>
          <w:lang w:val="es-AR" w:eastAsia="es-AR" w:bidi="es-AR"/>
        </w:rPr>
        <w:t xml:space="preserve">Dice que el magistrado ha inferido un arrepentimiento de la actora que no es tal, porque fue la única que instó la operación y además argumenta que para que opere la previsión del art. 1202 del Cód. Civil se requiere una actitud deliberada de que ejerce la facultad de arrepentirse, lo cual a su juicio no dimana de la prueba rendida.</w:t>
      </w:r>
    </w:p>
    <w:p>
      <w:pPr>
        <w:pStyle w:val="[Normal]"/>
        <w:spacing w:line="360" w:lineRule="auto"/>
        <w:ind w:firstLine="1134"/>
        <w:jc w:val="both"/>
        <w:rPr>
          <w:color w:val="000000"/>
          <w:lang w:val="es-AR" w:eastAsia="es-AR" w:bidi="es-AR"/>
        </w:rPr>
      </w:pPr>
      <w:r>
        <w:rPr>
          <w:color w:val="000000"/>
          <w:lang w:val="es-AR" w:eastAsia="es-AR" w:bidi="es-AR"/>
        </w:rPr>
        <w:t xml:space="preserve">Reseña el quejoso que de la documentación aportada no se estableció la fecha de cumplimiento y que la actora nunca recibió notificación fehaciente por una supuesta inejecución, ni siquiera aviso telefónico, solo la afirmación de que cuando dispusiera el dinero compensativo del uso se realizaría la operación. Relata además que el 1 de agosto de 2014 la actora intima por carta documento al cumplimiento de la transacción comercial sin contestación alguna de Pergamino Automotores.-</w:t>
      </w:r>
    </w:p>
    <w:p>
      <w:pPr>
        <w:pStyle w:val="[Normal]"/>
        <w:spacing w:line="360" w:lineRule="auto"/>
        <w:ind w:firstLine="1134"/>
        <w:jc w:val="both"/>
        <w:rPr>
          <w:color w:val="000000"/>
          <w:lang w:val="es-AR" w:eastAsia="es-AR" w:bidi="es-AR"/>
        </w:rPr>
      </w:pPr>
      <w:r>
        <w:rPr>
          <w:color w:val="000000"/>
          <w:lang w:val="es-AR" w:eastAsia="es-AR" w:bidi="es-AR"/>
        </w:rPr>
        <w:t xml:space="preserve">Indica que la empresa demandada para eximirse de responsabilidad se la atribuye a su empleado Fernández, y que asimismo se ampara en la inflación para no respetar el precio conforme lo pactado, atribuyéndole fraudulentas modificaciones en los registros informáticos (surgiendo las inconsistencias de fs 142 punto 2.5 según dice) donde se encuentra alterada la compraventa de la Sra Guerra, de lo que desprende una presunción iure et de iure en contra de la empresa demandada.</w:t>
      </w:r>
    </w:p>
    <w:p>
      <w:pPr>
        <w:pStyle w:val="[Normal]"/>
        <w:spacing w:line="360" w:lineRule="auto"/>
        <w:ind w:firstLine="1134"/>
        <w:jc w:val="both"/>
        <w:rPr>
          <w:color w:val="000000"/>
          <w:lang w:val="es-AR" w:eastAsia="es-AR" w:bidi="es-AR"/>
        </w:rPr>
      </w:pPr>
      <w:r>
        <w:rPr>
          <w:color w:val="000000"/>
          <w:lang w:val="es-AR" w:eastAsia="es-AR" w:bidi="es-AR"/>
        </w:rPr>
        <w:t xml:space="preserve">c) En el segundo punto de agravio se explaya atribuyendo un error en la aplicación de la ley, invocando la LDC  en tanto señala  que la empresa demandada es proveedora en el sentido del art. 2 y que la operación de compraventa que fue causa fuente de la obligación y que  es una operación de consumo regida por esta normativa.</w:t>
      </w:r>
    </w:p>
    <w:p>
      <w:pPr>
        <w:pStyle w:val="[Normal]"/>
        <w:spacing w:line="360" w:lineRule="auto"/>
        <w:ind w:firstLine="1134"/>
        <w:jc w:val="both"/>
        <w:rPr>
          <w:color w:val="000000"/>
          <w:lang w:val="es-AR" w:eastAsia="es-AR" w:bidi="es-AR"/>
        </w:rPr>
      </w:pPr>
      <w:r>
        <w:rPr>
          <w:color w:val="000000"/>
          <w:lang w:val="es-AR" w:eastAsia="es-AR" w:bidi="es-AR"/>
        </w:rPr>
        <w:t xml:space="preserve">Dice que frente a un incumplimiento contractual por parte de la empresa Pergamino Automotores el art. 10 bis incorporado por la ley 24.240 faculta al consumidor a exigir su cumplimiento forzado siempre que ello fuere posible y/o rescindir y exigir la devolución de lo abonado sin perjuicio de las acciones pertinentes.</w:t>
      </w:r>
    </w:p>
    <w:p>
      <w:pPr>
        <w:pStyle w:val="[Normal]"/>
        <w:spacing w:line="360" w:lineRule="auto"/>
        <w:ind w:firstLine="1134"/>
        <w:jc w:val="both"/>
        <w:rPr>
          <w:color w:val="000000"/>
          <w:lang w:val="es-AR" w:eastAsia="es-AR" w:bidi="es-AR"/>
        </w:rPr>
      </w:pPr>
      <w:r>
        <w:rPr>
          <w:color w:val="000000"/>
          <w:lang w:val="es-AR" w:eastAsia="es-AR" w:bidi="es-AR"/>
        </w:rPr>
        <w:t xml:space="preserve">Explica que su parte  nunca se arrepintió de la operación y no fue debidamente intimada a cumplir con la obligación sin plazo, que requiere su cumplimiento por carta documento.</w:t>
      </w:r>
    </w:p>
    <w:p>
      <w:pPr>
        <w:pStyle w:val="[Normal]"/>
        <w:spacing w:line="360" w:lineRule="auto"/>
        <w:ind w:firstLine="1134"/>
        <w:jc w:val="both"/>
        <w:rPr>
          <w:color w:val="000000"/>
          <w:lang w:val="es-AR" w:eastAsia="es-AR" w:bidi="es-AR"/>
        </w:rPr>
      </w:pPr>
      <w:r>
        <w:rPr>
          <w:color w:val="000000"/>
          <w:lang w:val="es-AR" w:eastAsia="es-AR" w:bidi="es-AR"/>
        </w:rPr>
        <w:t xml:space="preserve">Alude a la normativa del art. 40 de la LDC que habla de daño económico moral injustamente sufrido y el art. 19 de la LDC. Asimismo acude al art. 1094 del CCCN.</w:t>
      </w:r>
    </w:p>
    <w:p>
      <w:pPr>
        <w:pStyle w:val="[Normal]"/>
        <w:spacing w:line="360" w:lineRule="auto"/>
        <w:ind w:firstLine="1134"/>
        <w:jc w:val="both"/>
        <w:rPr>
          <w:color w:val="000000"/>
          <w:lang w:val="es-AR" w:eastAsia="es-AR" w:bidi="es-AR"/>
        </w:rPr>
      </w:pPr>
      <w:r>
        <w:rPr>
          <w:color w:val="000000"/>
          <w:lang w:val="es-AR" w:eastAsia="es-AR" w:bidi="es-AR"/>
        </w:rPr>
        <w:t xml:space="preserve">d) Se duele de la referencia de la operadora en tanto atribuye un arrepentimiento, indagando ultra petita en la sucesión del vehículo usado en parte de pago como causal para configurar la exceptio non adimpleti contractus, en tanto no se evaluó que la actora no fue intimada al cumplimiento achacando que limite su razonamiento a la argumentación del sucesorio .</w:t>
      </w:r>
    </w:p>
    <w:p>
      <w:pPr>
        <w:pStyle w:val="[Normal]"/>
        <w:spacing w:line="360" w:lineRule="auto"/>
        <w:ind w:firstLine="1134"/>
        <w:jc w:val="both"/>
        <w:rPr>
          <w:color w:val="000000"/>
          <w:lang w:val="es-AR" w:eastAsia="es-AR" w:bidi="es-AR"/>
        </w:rPr>
      </w:pPr>
      <w:r>
        <w:rPr>
          <w:color w:val="000000"/>
          <w:lang w:val="es-AR" w:eastAsia="es-AR" w:bidi="es-AR"/>
        </w:rPr>
        <w:t xml:space="preserve">Agrega que la exposición de Pergamino Automotores infringe la doctrina de los actos propios porque por un lado manifiesta que la operación se frustra por la imposibilidad de la actora en la entrega del vehículo usado como parte de pago, para luego decir  contradictoriamente, como surge de los registros informativos, el ingreso a sus arcas es de $ 900 y que luego de presentarse la actora con el dinero del valor del usado, conforme lo pactado, el precio había cambiado producto del proceso inflacionario, por un lado, arbitrariamente sostiene la baja de la operación y por el otro la reactiva ante la puesta a disposición del dinero compensatorio del usado por la actora; indicando que la exceptio non adimpleti contractus no resulta procedente.</w:t>
      </w:r>
    </w:p>
    <w:p>
      <w:pPr>
        <w:pStyle w:val="[Normal]"/>
        <w:spacing w:line="360" w:lineRule="auto"/>
        <w:ind w:firstLine="1134"/>
        <w:jc w:val="both"/>
        <w:rPr>
          <w:color w:val="000000"/>
          <w:lang w:val="es-AR" w:eastAsia="es-AR" w:bidi="es-AR"/>
        </w:rPr>
      </w:pPr>
      <w:r>
        <w:rPr>
          <w:color w:val="000000"/>
          <w:lang w:val="es-AR" w:eastAsia="es-AR" w:bidi="es-AR"/>
        </w:rPr>
        <w:t xml:space="preserve">2).- En su responde el apoderado de la parte demandada señala que los hechos han sido bien interpretados por la sentenciante, y que en la especie se verifica  un contrato de compraventa automotor, con la obligación de la parte actora de entregar una suma de dinero para asegurar la operación y la promesa de entrega, a cuenta de precio, de un vehículo usado, y de dinero. A cambio de estas obligaciones su parte o sea la empresa Pergamino Automotores estaba obligado a la entrega de un automotor 0 Km marca Renault Modelo Kangoo, y también la de recibir en parte de pago un automóvil marca Citröen, modelo Berlingo, año 2006, como asi también el saldo de precio.</w:t>
      </w:r>
    </w:p>
    <w:p>
      <w:pPr>
        <w:pStyle w:val="[Normal]"/>
        <w:spacing w:line="360" w:lineRule="auto"/>
        <w:ind w:firstLine="1134"/>
        <w:jc w:val="both"/>
        <w:rPr>
          <w:color w:val="000000"/>
          <w:lang w:val="es-AR" w:eastAsia="es-AR" w:bidi="es-AR"/>
        </w:rPr>
      </w:pPr>
      <w:r>
        <w:rPr>
          <w:color w:val="000000"/>
          <w:lang w:val="es-AR" w:eastAsia="es-AR" w:bidi="es-AR"/>
        </w:rPr>
        <w:t xml:space="preserve">Pero señala que de lo probado surge que la Sra Guerra estaba impedida de cumplir con una de las obligaciones a su cargo, que era la de entregar el automóvil Citröen, Modelo Berlingo, año 2006, con la documentación necesaria para patentar e inscribir el automotor, siendo esto un acto accesorio fundamental para que el adquirente pueda gozar del derecho transmitido. Dice que por más intención que tuviera la actora de continuar con el contrato, tenía la imposibilidad de transmitir el bien por ella ofrecido, y tampoco ofreció en su momento suplantarlo por otro de interés de la firma, y que resultaría irrisorio de que le mantengan el precio de la unidad luego de 10 meses de haber realizado un contrato que no se cumplió por la imposibilidad de la compradora de perfeccionar la entrega del vehículo que había ofrecido, es decir que el contrato no se perfeccionó por el incumplimiento de la que aquí reclama.</w:t>
      </w:r>
    </w:p>
    <w:p>
      <w:pPr>
        <w:pStyle w:val="[Normal]"/>
        <w:spacing w:line="360" w:lineRule="auto"/>
        <w:ind w:firstLine="1134"/>
        <w:jc w:val="both"/>
        <w:rPr>
          <w:color w:val="000000"/>
          <w:lang w:val="es-AR" w:eastAsia="es-AR" w:bidi="es-AR"/>
        </w:rPr>
      </w:pPr>
      <w:r>
        <w:rPr>
          <w:color w:val="000000"/>
          <w:lang w:val="es-AR" w:eastAsia="es-AR" w:bidi="es-AR"/>
        </w:rPr>
        <w:t xml:space="preserve">Dice asimismo que la denuncia penal no fue omitida por el aquo, sino que el mismo acudió a otros medios probatorios que llevaron a la conclusión alcanzada en sentencia.</w:t>
      </w:r>
    </w:p>
    <w:p>
      <w:pPr>
        <w:pStyle w:val="[Normal]"/>
        <w:spacing w:line="360" w:lineRule="auto"/>
        <w:ind w:firstLine="1134"/>
        <w:jc w:val="both"/>
        <w:rPr>
          <w:color w:val="000000"/>
          <w:lang w:val="es-AR" w:eastAsia="es-AR" w:bidi="es-AR"/>
        </w:rPr>
      </w:pPr>
      <w:r>
        <w:rPr>
          <w:color w:val="000000"/>
          <w:lang w:val="es-AR" w:eastAsia="es-AR" w:bidi="es-AR"/>
        </w:rPr>
        <w:t xml:space="preserve">En un segundo punto señala que la actora confunde dos institutos diferentes: la excepción de incumplimiento contractual el cual es utilizado por el juez al momento de fallar, y que no requiere intimación previa. Con la rescisión unilateral del contrato, explicado por la actora en su escrito, el cual no es mencionado por el aquo .-</w:t>
      </w:r>
    </w:p>
    <w:p>
      <w:pPr>
        <w:pStyle w:val="[Normal]"/>
        <w:spacing w:line="360" w:lineRule="auto"/>
        <w:ind w:firstLine="1134"/>
        <w:jc w:val="both"/>
        <w:rPr>
          <w:color w:val="000000"/>
          <w:lang w:val="es-AR" w:eastAsia="es-AR" w:bidi="es-AR"/>
        </w:rPr>
      </w:pPr>
      <w:r>
        <w:rPr>
          <w:color w:val="000000"/>
          <w:lang w:val="es-AR" w:eastAsia="es-AR" w:bidi="es-AR"/>
        </w:rPr>
        <w:t xml:space="preserve">Respecto del punto 3) error en la aplicación del derecho,  estima que no resulta aplicable al caso la norma consumeril, en tanto la actora afirmó que iba a utilizar el vehículo para la evolución de una empresa familiar en el  reparto de golosinas, por lo que resulta de aplicación tal como lo dijera la sentenciante el Código Civil Velezano conforme art. 7 del CCCN.-</w:t>
      </w:r>
    </w:p>
    <w:p>
      <w:pPr>
        <w:pStyle w:val="[Normal]"/>
        <w:spacing w:line="360" w:lineRule="auto"/>
        <w:ind w:firstLine="1134"/>
        <w:jc w:val="both"/>
        <w:rPr>
          <w:color w:val="000000"/>
          <w:lang w:val="es-AR" w:eastAsia="es-AR" w:bidi="es-AR"/>
        </w:rPr>
      </w:pPr>
      <w:r>
        <w:rPr>
          <w:color w:val="000000"/>
          <w:lang w:val="es-AR" w:eastAsia="es-AR" w:bidi="es-AR"/>
        </w:rPr>
        <w:t xml:space="preserve">También neutraliza la queja que refiere a la omisión de cuestiones centrales relativas a la prueba, señalando que hay de interpretaciones de la actora en su queja respecto de las valoraciones efectuadas por la magistrada de grado.-</w:t>
      </w:r>
    </w:p>
    <w:p>
      <w:pPr>
        <w:pStyle w:val="[Normal]"/>
        <w:spacing w:line="360" w:lineRule="auto"/>
        <w:ind w:firstLine="1134"/>
        <w:jc w:val="both"/>
        <w:rPr>
          <w:color w:val="000000"/>
          <w:lang w:val="es-AR" w:eastAsia="es-AR" w:bidi="es-AR"/>
        </w:rPr>
      </w:pPr>
      <w:r>
        <w:rPr>
          <w:color w:val="000000"/>
          <w:lang w:val="es-AR" w:eastAsia="es-AR" w:bidi="es-AR"/>
        </w:rPr>
        <w:t xml:space="preserve">En síntesis reseña que la accionante no cumplió y tampoco ofreció cumplir con las prestaciones a su cargo, y esto fue lo que en definitiva ocurrió, o sea ante la falta de cumplimiento de entregar el usado, la operación no se concretó, por ello debe rechazarse la pretensión incoada.-</w:t>
      </w:r>
    </w:p>
    <w:p>
      <w:pPr>
        <w:pStyle w:val="[Normal]"/>
        <w:spacing w:line="360" w:lineRule="auto"/>
        <w:ind w:firstLine="1134"/>
        <w:jc w:val="both"/>
        <w:rPr>
          <w:color w:val="000000"/>
          <w:lang w:val="es-AR" w:eastAsia="es-AR" w:bidi="es-AR"/>
        </w:rPr>
      </w:pPr>
      <w:r>
        <w:rPr>
          <w:color w:val="000000"/>
          <w:lang w:val="es-AR" w:eastAsia="es-AR" w:bidi="es-AR"/>
        </w:rPr>
        <w:t xml:space="preserve">3).- Normativa aplicable: Si bien a partir del 1 de agosto de 2015 ha entrado en vigencia el nuevo Código Civil y Comercial de la Nación, los hechos que aquí se ventilan (configuración de la relación contractual invocada en demanda y las obligaciones cuyo cumplimiento se persiguen), han ocurrido durante la vigencia del Cód. Civil Velezano, por tanto, al no ser cuestiones que se rijan por normas imperativas, ha de aplicarse a este caso la legislación anterior, que mantiene su ultractividad confirme el art. 7 del CCCN (cfr Kemelmajer de Carlucci, Aída, La aplicación del Código Civil y Comercial a las relaciones jurídicas existentes, Rubinzal-Culzoni, Santa Fem 2015, p. 148).-</w:t>
      </w:r>
    </w:p>
    <w:p>
      <w:pPr>
        <w:pStyle w:val="[Normal]"/>
        <w:spacing w:line="360" w:lineRule="auto"/>
        <w:ind w:firstLine="1134"/>
        <w:jc w:val="both"/>
        <w:rPr>
          <w:color w:val="000000"/>
          <w:lang w:val="es-AR" w:eastAsia="es-AR" w:bidi="es-AR"/>
        </w:rPr>
      </w:pPr>
      <w:r>
        <w:rPr>
          <w:color w:val="000000"/>
          <w:lang w:val="es-AR" w:eastAsia="es-AR" w:bidi="es-AR"/>
        </w:rPr>
        <w:t xml:space="preserve">4).-Entrando a resolver liminarmente he de señalar que la magistrada de grado ha recogido la existencia de un negocio jurídico celebrado entre las partes de este juicio, mediante el cual la actora Olga Rosa Guerra entregó la suma de $ 6.700 en concepto de seña, lo que se ha   probado con el recibo provisorio Nro 013647 que se allegara con la demanda. Esta entrega de suma de dinero la efectuó para asegurar la operación dirigida a adquirir por la misma un automóvil Marca Renault Kangoo 0 Km., obligándose la actora a entregar un vehículo usado marca Citröen Berlingo 2006 valuado en $ 30.000  y una diferencia en dinero por el importe de $ 30.300 -</w:t>
      </w:r>
    </w:p>
    <w:p>
      <w:pPr>
        <w:pStyle w:val="[Normal]"/>
        <w:spacing w:line="360" w:lineRule="auto"/>
        <w:ind w:firstLine="1134"/>
        <w:jc w:val="both"/>
        <w:rPr>
          <w:color w:val="000000"/>
          <w:lang w:val="es-AR" w:eastAsia="es-AR" w:bidi="es-AR"/>
        </w:rPr>
      </w:pPr>
      <w:r>
        <w:rPr>
          <w:color w:val="000000"/>
          <w:lang w:val="es-AR" w:eastAsia="es-AR" w:bidi="es-AR"/>
        </w:rPr>
        <w:t xml:space="preserve">De la operación se acreditó  la entrega efectiva de la suma de $ 6.700 pero no se verificó el cumplimiento del resto de las obligaciones a cargo de la actora,  sobre las que razonara la magistrada de grado, que si bien admite que hubo un contrato, evalúa  en la sentencia que fue la propia actora la que no cumplió con sus términos, lo que motivara el rechazo de la demanda, puesta hoy en crisis.-</w:t>
      </w:r>
    </w:p>
    <w:p>
      <w:pPr>
        <w:pStyle w:val="[Normal]"/>
        <w:spacing w:line="360" w:lineRule="auto"/>
        <w:ind w:firstLine="1134"/>
        <w:jc w:val="both"/>
        <w:rPr>
          <w:color w:val="000000"/>
          <w:lang w:val="es-AR" w:eastAsia="es-AR" w:bidi="es-AR"/>
        </w:rPr>
      </w:pPr>
      <w:r>
        <w:rPr>
          <w:color w:val="000000"/>
          <w:lang w:val="es-AR" w:eastAsia="es-AR" w:bidi="es-AR"/>
        </w:rPr>
        <w:t xml:space="preserve">Conforme lo normado por el art. 1201 del Cód. Civil claramente se señala que una de las partes no podrá demandar su cumplimiento, si no probase haberlo ella cumplido u ofreciese cumplirlo, o que su obligación es a plazo. Se trata de una aplicación particular de la excepción de dolo, ya que es contrario a la buena fe contractual que aquel que no haya cumplido la prestación a su cargo, exija la obligación que le es debida por la contraparte. Normativa que ha de relacionarse con el art. 510 Cód. Civil  que establece que en las obligaciones recíprocas uno de los obligados no incurre en mora si el otro no cumple o no se allana a cumplir la obligación de su parte (Cfr. Belluscio, Código Civil comentado, T 5).</w:t>
      </w:r>
    </w:p>
    <w:p>
      <w:pPr>
        <w:pStyle w:val="[Normal]"/>
        <w:spacing w:line="360" w:lineRule="auto"/>
        <w:ind w:firstLine="1134"/>
        <w:jc w:val="both"/>
        <w:rPr>
          <w:color w:val="000000"/>
          <w:lang w:val="es-AR" w:eastAsia="es-AR" w:bidi="es-AR"/>
        </w:rPr>
      </w:pPr>
      <w:r>
        <w:rPr>
          <w:color w:val="000000"/>
          <w:lang w:val="es-AR" w:eastAsia="es-AR" w:bidi="es-AR"/>
        </w:rPr>
        <w:t xml:space="preserve">Se trata entonces de un instituto que requiere la existencia de un contrato bilateral, que las obligaciones sean de cumplimiento simultáneo, que la prestación a cargo de la contraparte no esté cumplida, que el incumplimiento sea grave y que quien la opone no se encuentre en mora, finalmente que cumpla u ofrezca cumplir con la prestación a su cargo.- Ha de entenderse que la simultaneidad refiere a la exigibilidad y que provengan del mismo contrato.-</w:t>
      </w:r>
    </w:p>
    <w:p>
      <w:pPr>
        <w:pStyle w:val="[Normal]"/>
        <w:spacing w:line="360" w:lineRule="auto"/>
        <w:ind w:firstLine="1134"/>
        <w:jc w:val="both"/>
        <w:rPr>
          <w:color w:val="000000"/>
          <w:lang w:val="es-AR" w:eastAsia="es-AR" w:bidi="es-AR"/>
        </w:rPr>
      </w:pPr>
      <w:r>
        <w:rPr>
          <w:color w:val="000000"/>
          <w:lang w:val="es-AR" w:eastAsia="es-AR" w:bidi="es-AR"/>
        </w:rPr>
        <w:t xml:space="preserve">Estas mismas premisas se aplican a la </w:t>
      </w:r>
      <w:r>
        <w:rPr>
          <w:i/>
          <w:color w:val="000000"/>
          <w:lang w:val="es-AR" w:eastAsia="es-AR" w:bidi="es-AR"/>
        </w:rPr>
        <w:t xml:space="preserve">"exceptio non rite adimpleti contractus", </w:t>
      </w:r>
      <w:r>
        <w:rPr>
          <w:color w:val="000000"/>
          <w:lang w:val="es-AR" w:eastAsia="es-AR" w:bidi="es-AR"/>
        </w:rPr>
        <w:t xml:space="preserve">esto es la excepción de incumplimiento parcial o imperfecto (distinguiéndose del incumplimiento total) y que opera como una variable de la primeramente analizada. Tienen ambas la misma naturaleza y los mismos efectos, sólo que varía en cuanto a la carga de la prueba, ya que en la exceptio non rite la carga de la prueba versa sobre el demandado.</w:t>
      </w:r>
    </w:p>
    <w:p>
      <w:pPr>
        <w:pStyle w:val="[Normal]"/>
        <w:spacing w:line="360" w:lineRule="auto"/>
        <w:ind w:firstLine="1134"/>
        <w:jc w:val="both"/>
        <w:rPr>
          <w:color w:val="000000"/>
          <w:lang w:val="es-AR" w:eastAsia="es-AR" w:bidi="es-AR"/>
        </w:rPr>
      </w:pPr>
      <w:r>
        <w:rPr>
          <w:color w:val="000000"/>
          <w:lang w:val="es-AR" w:eastAsia="es-AR" w:bidi="es-AR"/>
        </w:rPr>
        <w:t xml:space="preserve">De este esquema normativo entonces, la situación encuadra dentro de la exceptio non rite con todas las previsiones ya analizadas.</w:t>
      </w:r>
    </w:p>
    <w:p>
      <w:pPr>
        <w:pStyle w:val="[Normal]"/>
        <w:spacing w:line="360" w:lineRule="auto"/>
        <w:ind w:firstLine="1134"/>
        <w:jc w:val="both"/>
        <w:rPr>
          <w:color w:val="000000"/>
          <w:lang w:val="es-AR" w:eastAsia="es-AR" w:bidi="es-AR"/>
        </w:rPr>
      </w:pPr>
      <w:r>
        <w:rPr>
          <w:color w:val="000000"/>
          <w:lang w:val="es-AR" w:eastAsia="es-AR" w:bidi="es-AR"/>
        </w:rPr>
        <w:t xml:space="preserve">Es decir hubo un contrato, tal como lo motivara atinadamente  la sentenciante, sin que ello fuera neutralizado ni por los agravios del apelante ni el responde de la apelada; hubo principio de ejecución  y se verificó un incumplimiento defectuoso de la parte actora: esto es entregó una seña a cuenta de precio  cuyo monto se probó,  pero no concretó ni  la entrega del vehículo usado ni el importe en dinero pactado. O sea no satisfizo el resto de las prestaciones que estaban a su cargo, configurándose un  incumplimiento de entidad  que le es totalmente imputable,  por lo que mal puede demandar su cumplimiento.</w:t>
      </w:r>
    </w:p>
    <w:p>
      <w:pPr>
        <w:pStyle w:val="[Normal]"/>
        <w:spacing w:line="360" w:lineRule="auto"/>
        <w:ind w:firstLine="1134"/>
        <w:jc w:val="both"/>
        <w:rPr>
          <w:color w:val="000000"/>
          <w:lang w:val="es-AR" w:eastAsia="es-AR" w:bidi="es-AR"/>
        </w:rPr>
      </w:pPr>
      <w:r>
        <w:rPr>
          <w:color w:val="000000"/>
          <w:lang w:val="es-AR" w:eastAsia="es-AR" w:bidi="es-AR"/>
        </w:rPr>
        <w:t xml:space="preserve">No comparto el punto de los agravios donde se sostiene que la jueza de grado se pronunció </w:t>
      </w:r>
      <w:r>
        <w:rPr>
          <w:i/>
          <w:color w:val="000000"/>
          <w:lang w:val="es-AR" w:eastAsia="es-AR" w:bidi="es-AR"/>
        </w:rPr>
        <w:t xml:space="preserve">extra petita</w:t>
      </w:r>
      <w:r>
        <w:rPr>
          <w:color w:val="000000"/>
          <w:lang w:val="es-AR" w:eastAsia="es-AR" w:bidi="es-AR"/>
        </w:rPr>
        <w:t xml:space="preserve">, en tanto la misma indagara con la prueba rendida por qué motivo no se cumplió con una de las prestaciones comprometidas por la actora, que era entregar un vehículo usado Citröen Berlingo Furgón valuado en $ 30.000, en tanto se desprendió del caudal probatorio pormenorizadamente reseñado, que ese bien no estaba disponible ya que había fallecido su titular y no se había completado el trámite en la denuncia de bienes del respectivo sucesorio para habilitar la entrega y el dominio pertinente, desprendiéndose del expte Nro 50.344 "Torres Carlos Martín s/ Sucesión ab intestato" que el causante falleció el 28/03/2011, (o sea con 10 meses antes de la operación negocial origen de esta pretensión actoral), que el 5/02/2013 se dictó la declaratoria de herederos que incluía a los hijos y a la aquí actora como cónyuge. Y como bien señala la magistrada la expedición del pertinente testimonio de inscripción de la Berlingo  fue ordenada el 1 de setiembre de 2014, o sea 2 años y 8 meses después de la operación negocial con Pergamino Automotores, con lo que tal como se dice en la sentencia mal podría estar en condiciones de cumplir con lo pactado en aquel negocio jurídico ni en condiciones de entregar la documentación para patentar o inscribir el automotor ofrecido como parte del precio.-</w:t>
      </w:r>
    </w:p>
    <w:p>
      <w:pPr>
        <w:pStyle w:val="[Normal]"/>
        <w:spacing w:line="360" w:lineRule="auto"/>
        <w:ind w:firstLine="1134"/>
        <w:jc w:val="both"/>
        <w:rPr>
          <w:color w:val="000000"/>
          <w:lang w:val="es-AR" w:eastAsia="es-AR" w:bidi="es-AR"/>
        </w:rPr>
      </w:pPr>
      <w:r>
        <w:rPr>
          <w:color w:val="000000"/>
          <w:lang w:val="es-AR" w:eastAsia="es-AR" w:bidi="es-AR"/>
        </w:rPr>
        <w:t xml:space="preserve">Tampoco quedó probado que la actora hubiera pagado el importe en pesos o saldo restante comprometido y que formaba parte del precio total convenido.</w:t>
      </w:r>
    </w:p>
    <w:p>
      <w:pPr>
        <w:pStyle w:val="[Normal]"/>
        <w:spacing w:line="360" w:lineRule="auto"/>
        <w:ind w:firstLine="1134"/>
        <w:jc w:val="both"/>
        <w:rPr>
          <w:color w:val="000000"/>
          <w:lang w:val="es-AR" w:eastAsia="es-AR" w:bidi="es-AR"/>
        </w:rPr>
      </w:pPr>
      <w:r>
        <w:rPr>
          <w:color w:val="000000"/>
          <w:lang w:val="es-AR" w:eastAsia="es-AR" w:bidi="es-AR"/>
        </w:rPr>
        <w:t xml:space="preserve">Lo único que se probó en forma fehaciente como bien lo apunta la jueza de grado, fue la entrega de una seña por el importe de $ 6.700 que representaba en ese momento el 10% del valor de mercado de la unidad, cuyo precio total se había fijado en la suma de $ 67.000 en la fecha 7 de enero de 2012. Y sobre lo que da cuenta la experticia de fs. 114 donde se afirma que la Sra. Guerra entregó el importe de $ 6.700 el 17/01/2012.</w:t>
      </w:r>
    </w:p>
    <w:p>
      <w:pPr>
        <w:pStyle w:val="[Normal]"/>
        <w:spacing w:line="360" w:lineRule="auto"/>
        <w:ind w:firstLine="1134"/>
        <w:jc w:val="both"/>
        <w:rPr>
          <w:color w:val="000000"/>
          <w:lang w:val="es-AR" w:eastAsia="es-AR" w:bidi="es-AR"/>
        </w:rPr>
      </w:pPr>
      <w:r>
        <w:rPr>
          <w:color w:val="000000"/>
          <w:lang w:val="es-AR" w:eastAsia="es-AR" w:bidi="es-AR"/>
        </w:rPr>
        <w:t xml:space="preserve">Se trató de una seña a cuenta de precio, muy común en los boletos de compraventa, definida por el plenario de la Cámara Civil de Capital Federal en autos "Méndez" donde se dijo que "la claúsula como seña y a cuenta de precio" tiene una doble función sucesivamente: como seña si el contrato no se cumple y a cuenta de precio en caso contrario.</w:t>
      </w:r>
    </w:p>
    <w:p>
      <w:pPr>
        <w:pStyle w:val="[Normal]"/>
        <w:spacing w:line="360" w:lineRule="auto"/>
        <w:ind w:firstLine="1134"/>
        <w:jc w:val="both"/>
        <w:rPr>
          <w:color w:val="000000"/>
          <w:lang w:val="es-AR" w:eastAsia="es-AR" w:bidi="es-AR"/>
        </w:rPr>
      </w:pPr>
      <w:r>
        <w:rPr>
          <w:color w:val="000000"/>
          <w:lang w:val="es-AR" w:eastAsia="es-AR" w:bidi="es-AR"/>
        </w:rPr>
        <w:t xml:space="preserve">El resto de las prestaciones a cargo de la compradora  no fueron satisfechas y las constancias probatorias revelan que eso fue así y hasta cuales fueron los motivos por los cuales no se cumplió. En el caso de la entrega del usado, como ya se dijo, los papeles parecieron como aptos dos años y 8 meses después de concretar la seña  con la empresa demandada.-</w:t>
      </w:r>
    </w:p>
    <w:p>
      <w:pPr>
        <w:pStyle w:val="[Normal]"/>
        <w:spacing w:line="360" w:lineRule="auto"/>
        <w:ind w:firstLine="1134"/>
        <w:jc w:val="both"/>
        <w:rPr>
          <w:color w:val="000000"/>
          <w:lang w:val="es-AR" w:eastAsia="es-AR" w:bidi="es-AR"/>
        </w:rPr>
      </w:pPr>
      <w:r>
        <w:rPr>
          <w:color w:val="000000"/>
          <w:lang w:val="es-AR" w:eastAsia="es-AR" w:bidi="es-AR"/>
        </w:rPr>
        <w:t xml:space="preserve">De las testimoniales rendidas en autos se aprecian estas circunstancias, en efecto a fs. 173 la testigo Gabriela Mazzei relata que </w:t>
      </w:r>
      <w:r>
        <w:rPr>
          <w:i/>
          <w:color w:val="000000"/>
          <w:lang w:val="es-AR" w:eastAsia="es-AR" w:bidi="es-AR"/>
        </w:rPr>
        <w:t xml:space="preserve">"...la operación nunca se concretó...que por porblemas de la documentación del usado, dado que debía realizar la sucesión del marido ya que el bien era ganancial..."</w:t>
      </w:r>
      <w:r>
        <w:rPr>
          <w:color w:val="000000"/>
          <w:lang w:val="es-AR" w:eastAsia="es-AR" w:bidi="es-AR"/>
        </w:rPr>
        <w:t xml:space="preserve">, relatando que la Sra. Guerra reapareció en la concesionaria 8 meses después, aclarando que a esa fecha ya el valor del vehículo era de $ 80.000. En modo coincidente el testigo Ignacio Pinco de fs. 175 dijo </w:t>
      </w:r>
      <w:r>
        <w:rPr>
          <w:i/>
          <w:color w:val="000000"/>
          <w:lang w:val="es-AR" w:eastAsia="es-AR" w:bidi="es-AR"/>
        </w:rPr>
        <w:t xml:space="preserve">"Que el monto ingreso era como seña de la operación, que nunca se concertó, que por problemas de la documentación del automotor usado que entregaba la Sra Guerra, que debía realizar la sucesión del marido porque el bien era ganancial."</w:t>
      </w:r>
      <w:r>
        <w:rPr>
          <w:color w:val="000000"/>
          <w:lang w:val="es-AR" w:eastAsia="es-AR" w:bidi="es-AR"/>
        </w:rPr>
        <w:t xml:space="preserve"> En sentido coincidente el testigo Plencovich de fs. 177.-</w:t>
      </w:r>
    </w:p>
    <w:p>
      <w:pPr>
        <w:pStyle w:val="[Normal]"/>
        <w:spacing w:line="360" w:lineRule="auto"/>
        <w:ind w:firstLine="1134"/>
        <w:jc w:val="both"/>
        <w:rPr>
          <w:color w:val="000000"/>
          <w:lang w:val="es-AR" w:eastAsia="es-AR" w:bidi="es-AR"/>
        </w:rPr>
      </w:pPr>
      <w:r>
        <w:rPr>
          <w:color w:val="000000"/>
          <w:lang w:val="es-AR" w:eastAsia="es-AR" w:bidi="es-AR"/>
        </w:rPr>
        <w:t xml:space="preserve">El relato coincidente y despejado de toda parcialidad, lleva sin duda a probar que la actora no pudo completar los papeles del vehículo que iba a entregar cuando concretó la seña por un problema exclusivamente familiar: el auto era ganancial y no estaba lista la sucesión de su esposo.</w:t>
      </w:r>
    </w:p>
    <w:p>
      <w:pPr>
        <w:pStyle w:val="[Normal]"/>
        <w:spacing w:line="360" w:lineRule="auto"/>
        <w:ind w:firstLine="1134"/>
        <w:jc w:val="both"/>
        <w:rPr>
          <w:color w:val="000000"/>
          <w:lang w:val="es-AR" w:eastAsia="es-AR" w:bidi="es-AR"/>
        </w:rPr>
      </w:pPr>
      <w:r>
        <w:rPr>
          <w:color w:val="000000"/>
          <w:lang w:val="es-AR" w:eastAsia="es-AR" w:bidi="es-AR"/>
        </w:rPr>
        <w:t xml:space="preserve">Sabido es que la </w:t>
      </w:r>
      <w:r>
        <w:rPr>
          <w:i/>
          <w:color w:val="000000"/>
          <w:lang w:val="es-AR" w:eastAsia="es-AR" w:bidi="es-AR"/>
        </w:rPr>
        <w:t xml:space="preserve">exceptio non adimpleti contractus</w:t>
      </w:r>
      <w:r>
        <w:rPr>
          <w:color w:val="000000"/>
          <w:lang w:val="es-AR" w:eastAsia="es-AR" w:bidi="es-AR"/>
        </w:rPr>
        <w:t xml:space="preserve"> constituye una defensa tendiente a resguardar el equilibrio funcional del contrato, que consiste en atribuir a la otra parte incumplimientos con la entidad suficiente que autoricen a suspender la prestación debida o el pago de lo adeudado y son requisitos de su procedencia que las obligaciones recíprocas sean de cumplimiento simultáneo, y que el que pretenda hacerla valer no sea incumplidor, es decir, que no haya dejado de cumplir con su obligación, si es exigible con anterioridad a la de la otra parte, u ofrezca cumplirla si es de cumplimiento simultáneo.</w:t>
      </w:r>
    </w:p>
    <w:p>
      <w:pPr>
        <w:pStyle w:val="[Normal]"/>
        <w:spacing w:line="360" w:lineRule="auto"/>
        <w:ind w:firstLine="1134"/>
        <w:jc w:val="both"/>
        <w:rPr>
          <w:i/>
          <w:color w:val="000000"/>
          <w:lang w:val="es-AR" w:eastAsia="es-AR" w:bidi="es-AR"/>
        </w:rPr>
      </w:pPr>
      <w:r>
        <w:rPr>
          <w:color w:val="000000"/>
          <w:lang w:val="es-AR" w:eastAsia="es-AR" w:bidi="es-AR"/>
        </w:rPr>
        <w:t xml:space="preserve">El fundamento del instituto reside en el nexo de interdependencia que existe en los contratos bilaterales que exhiben simultaneidad en el cumplimiento de las  prestaciones recíprocas. Su finalidad es posibilitar al contratante demandado por incumplimiento, abstenerse de ejecutar su prestación hasta tanto no se concrete el cumplimiento de la prestación a cargo de la otra parte (CNCom. Tekbrige SA c. Banco de Galicia y Buenos Aires 29/05/2007).</w:t>
      </w:r>
    </w:p>
    <w:p>
      <w:pPr>
        <w:pStyle w:val="[Normal]"/>
        <w:spacing w:line="360" w:lineRule="auto"/>
        <w:ind w:firstLine="1134"/>
        <w:jc w:val="both"/>
        <w:rPr>
          <w:color w:val="000000"/>
          <w:lang w:val="es-AR" w:eastAsia="es-AR" w:bidi="es-AR"/>
        </w:rPr>
      </w:pPr>
      <w:r>
        <w:rPr>
          <w:color w:val="000000"/>
          <w:lang w:val="es-AR" w:eastAsia="es-AR" w:bidi="es-AR"/>
        </w:rPr>
        <w:t xml:space="preserve">Se ha dicho reiteradamente que</w:t>
      </w:r>
      <w:r>
        <w:rPr>
          <w:i/>
          <w:color w:val="000000"/>
          <w:lang w:val="es-AR" w:eastAsia="es-AR" w:bidi="es-AR"/>
        </w:rPr>
        <w:t xml:space="preserve"> "Cuando se trata de un incumplimiento parcial o cumplimiento defectuoso, o incompleto, o irregular, estamos ante una especie de la excepción de cumplimiento contractual, que es la exceptio non rite admpleti contractuis, de la que se establece aplicaciones particulares en los arts. 1425 y 1426 del Cód. Civil"</w:t>
      </w:r>
      <w:r>
        <w:rPr>
          <w:color w:val="000000"/>
          <w:lang w:val="es-AR" w:eastAsia="es-AR" w:bidi="es-AR"/>
        </w:rPr>
        <w:t xml:space="preserve"> -RSD-227-11- S 07/12/2011 -.</w:t>
      </w:r>
    </w:p>
    <w:p>
      <w:pPr>
        <w:pStyle w:val="[Normal]"/>
        <w:spacing w:line="360" w:lineRule="auto"/>
        <w:ind w:firstLine="1134"/>
        <w:jc w:val="both"/>
        <w:rPr>
          <w:color w:val="000000"/>
          <w:lang w:val="es-AR" w:eastAsia="es-AR" w:bidi="es-AR"/>
        </w:rPr>
      </w:pPr>
      <w:r>
        <w:rPr>
          <w:i/>
          <w:color w:val="000000"/>
          <w:lang w:val="es-AR" w:eastAsia="es-AR" w:bidi="es-AR"/>
        </w:rPr>
        <w:t xml:space="preserve">"La aplicación de la excepción de incumplimiento contractual reclama la demostración de recaudos medulares, tal como la existencia de prestaciones recíprocas en relación de interdependencia, extremo que implica que las mismas reconozcan un nivel de conexión que apunte a la exigibilidad simultánea. Pero además ha de requerirse que el incumplimiento enrostrado sea grave, exigiéndose también que sea opuesto de buena fe y quien la opone no se encuentre en mora, pues es contrario a la buena fe de aquél que no haya cumplido la prestación a su cargo, exija la obligación que le es debida por la contraparte y colisiona con tal principio axiológico suspender el propio cumplimiento ante un incumplimiento menor e instrascendente de la contraparte (arg. art. 1198 del Cód. Civil)".</w:t>
      </w:r>
      <w:r>
        <w:rPr>
          <w:color w:val="000000"/>
          <w:lang w:val="es-AR" w:eastAsia="es-AR" w:bidi="es-AR"/>
        </w:rPr>
        <w:t xml:space="preserve"> (CC0002 SM 59720 RSD-3-8 S 05/02/2008).-</w:t>
      </w:r>
    </w:p>
    <w:p>
      <w:pPr>
        <w:pStyle w:val="[Normal]"/>
        <w:spacing w:line="360" w:lineRule="auto"/>
        <w:ind w:firstLine="1134"/>
        <w:jc w:val="both"/>
        <w:rPr>
          <w:color w:val="000000"/>
          <w:lang w:val="es-AR" w:eastAsia="es-AR" w:bidi="es-AR"/>
        </w:rPr>
      </w:pPr>
      <w:r>
        <w:rPr>
          <w:color w:val="000000"/>
          <w:lang w:val="es-AR" w:eastAsia="es-AR" w:bidi="es-AR"/>
        </w:rPr>
        <w:t xml:space="preserve">Evidentemente la referencia del quejoso en relación a que según una testigo ofreció cumplir en el mes de noviembre de 2012 con la totalidad del valor y además el invocar que no fue intimado para configurar la mora, deben ser apreciados en el caso concreto dentro de las particulares circunstancias de esta operación.</w:t>
      </w:r>
    </w:p>
    <w:p>
      <w:pPr>
        <w:pStyle w:val="[Normal]"/>
        <w:spacing w:line="360" w:lineRule="auto"/>
        <w:ind w:firstLine="1134"/>
        <w:jc w:val="both"/>
        <w:rPr>
          <w:color w:val="000000"/>
          <w:lang w:val="es-AR" w:eastAsia="es-AR" w:bidi="es-AR"/>
        </w:rPr>
      </w:pPr>
      <w:r>
        <w:rPr>
          <w:color w:val="000000"/>
          <w:lang w:val="es-AR" w:eastAsia="es-AR" w:bidi="es-AR"/>
        </w:rPr>
        <w:t xml:space="preserve">La seña se concretó en enero de 2012, y la intimación cursada por la actora glosada a fs 6 se formalizó en agosto de 2014 (más de dos años despúes) ) , aludiendo en esa misma carta que en noviembre de 2012 comunicó a la empresa que estaba dispuesta a pagar el saldo de precio, sobre lo que hay una insuficiencia probatoria.</w:t>
      </w:r>
    </w:p>
    <w:p>
      <w:pPr>
        <w:pStyle w:val="[Normal]"/>
        <w:spacing w:line="360" w:lineRule="auto"/>
        <w:ind w:firstLine="1134"/>
        <w:jc w:val="both"/>
        <w:rPr>
          <w:color w:val="000000"/>
          <w:lang w:val="es-AR" w:eastAsia="es-AR" w:bidi="es-AR"/>
        </w:rPr>
      </w:pPr>
      <w:r>
        <w:rPr>
          <w:color w:val="000000"/>
          <w:lang w:val="es-AR" w:eastAsia="es-AR" w:bidi="es-AR"/>
        </w:rPr>
        <w:t xml:space="preserve">De la secuencia de los hechos surge sin dudas que el comprador no siguió una secuencia lógica para concretar la operación, tal vez como lo señala la jueza de grado porque se encontró con la imposibilidad de reunir la documentación necesaria para transferir el auto usado que había ofrecido como parte de pago. Esta conducta de abandono voluntario o involuntario de la operación, no puede ser atribuida a la empresa vendedora.</w:t>
      </w:r>
    </w:p>
    <w:p>
      <w:pPr>
        <w:pStyle w:val="[Normal]"/>
        <w:spacing w:line="360" w:lineRule="auto"/>
        <w:ind w:firstLine="1134"/>
        <w:jc w:val="both"/>
        <w:rPr>
          <w:color w:val="000000"/>
          <w:lang w:val="es-AR" w:eastAsia="es-AR" w:bidi="es-AR"/>
        </w:rPr>
      </w:pPr>
      <w:r>
        <w:rPr>
          <w:color w:val="000000"/>
          <w:lang w:val="es-AR" w:eastAsia="es-AR" w:bidi="es-AR"/>
        </w:rPr>
        <w:t xml:space="preserve">Pero también hallo una desprolijidad en la conducta de la empresa demandada, quizás porque la operación no se volcó correctamente en la dinámica operativa de la misma, por problemas atribuibles a la relación empleadora-empleado que tampoco pueden ser achacadas a la compradora.</w:t>
      </w:r>
    </w:p>
    <w:p>
      <w:pPr>
        <w:pStyle w:val="[Normal]"/>
        <w:spacing w:line="360" w:lineRule="auto"/>
        <w:ind w:firstLine="1134"/>
        <w:jc w:val="both"/>
        <w:rPr>
          <w:color w:val="000000"/>
          <w:lang w:val="es-AR" w:eastAsia="es-AR" w:bidi="es-AR"/>
        </w:rPr>
      </w:pPr>
      <w:r>
        <w:rPr>
          <w:color w:val="000000"/>
          <w:lang w:val="es-AR" w:eastAsia="es-AR" w:bidi="es-AR"/>
        </w:rPr>
        <w:t xml:space="preserve">Hubo un acuerdo de voluntades que comenzó su ejecución pero que no se concretó, a mi criterio por un aporte que en parte también es atribuible a la demandada, aunque de menor entidad.</w:t>
      </w:r>
    </w:p>
    <w:p>
      <w:pPr>
        <w:pStyle w:val="[Normal]"/>
        <w:spacing w:line="360" w:lineRule="auto"/>
        <w:ind w:firstLine="1134"/>
        <w:jc w:val="both"/>
        <w:rPr>
          <w:color w:val="000000"/>
          <w:lang w:val="es-AR" w:eastAsia="es-AR" w:bidi="es-AR"/>
        </w:rPr>
      </w:pPr>
      <w:r>
        <w:rPr>
          <w:color w:val="000000"/>
          <w:lang w:val="es-AR" w:eastAsia="es-AR" w:bidi="es-AR"/>
        </w:rPr>
        <w:t xml:space="preserve">Entonces considero como razonable que frente a este reclamo, se le reintegre a la parte actora  la seña que fuera entregada por el importe de $ 6.700,  aplicándole los intereses desde la fecha en que la misma fue efectivizada  hasta su efectivo pago, único punto que he de revocar respecto de la sentencia de primera instancia.</w:t>
      </w:r>
    </w:p>
    <w:p>
      <w:pPr>
        <w:pStyle w:val="[Normal]"/>
        <w:spacing w:line="360" w:lineRule="auto"/>
        <w:ind w:firstLine="1134"/>
        <w:jc w:val="both"/>
        <w:rPr>
          <w:color w:val="000000"/>
          <w:lang w:val="es-AR" w:eastAsia="es-AR" w:bidi="es-AR"/>
        </w:rPr>
      </w:pPr>
      <w:r>
        <w:rPr>
          <w:color w:val="000000"/>
          <w:lang w:val="es-AR" w:eastAsia="es-AR" w:bidi="es-AR"/>
        </w:rPr>
        <w:t xml:space="preserve">Es que de lo contrario, podría configurarse un enriquecimiento ilícito por parte de la empresa vendedora, que también con cierta desprolijidad contribuyó al déficit negocial. Muy bien conceptualizado por Compagnucci de Caso, Rubén H. Publicado en: LA LEY 13/01/2021 , 1  • LA LEY 14/01/2021 , 1 Cita Online: AR/DOC/3918/2019.</w:t>
      </w:r>
    </w:p>
    <w:p>
      <w:pPr>
        <w:pStyle w:val="[Normal]"/>
        <w:spacing w:line="360" w:lineRule="auto"/>
        <w:ind w:firstLine="1134"/>
        <w:jc w:val="both"/>
        <w:rPr>
          <w:color w:val="000000"/>
          <w:lang w:val="es-AR" w:eastAsia="es-AR" w:bidi="es-AR"/>
        </w:rPr>
      </w:pPr>
      <w:r>
        <w:rPr>
          <w:color w:val="000000"/>
          <w:lang w:val="es-AR" w:eastAsia="es-AR" w:bidi="es-AR"/>
        </w:rPr>
        <w:t xml:space="preserve">Alli señala que </w:t>
      </w:r>
      <w:r>
        <w:rPr>
          <w:i/>
          <w:color w:val="000000"/>
          <w:lang w:val="es-AR" w:eastAsia="es-AR" w:bidi="es-AR"/>
        </w:rPr>
        <w:t xml:space="preserve">"Es posible adelantar que el enriquecimiento injusto o sin causa ha sido considerado como una de las fuentes modernas de las obligaciones, juntamente con la "declaración unilateral de la voluntad", el pago de lo indebido y el abuso del derecho. Se trata de un principio jurídico que prohíbe enriquecerse a costa de otro sin razones fundadas; y la acción que se otorga al perjudicado por la disminución o el empobrecimiento tiene como finalidad restituir el equilibrio patrimonial alterado".</w:t>
      </w:r>
    </w:p>
    <w:p>
      <w:pPr>
        <w:pStyle w:val="[Normal]"/>
        <w:spacing w:line="360" w:lineRule="auto"/>
        <w:ind w:firstLine="1134"/>
        <w:jc w:val="both"/>
        <w:rPr>
          <w:color w:val="000000"/>
          <w:lang w:val="es-AR" w:eastAsia="es-AR" w:bidi="es-AR"/>
        </w:rPr>
      </w:pPr>
      <w:r>
        <w:rPr>
          <w:color w:val="000000"/>
          <w:lang w:val="es-AR" w:eastAsia="es-AR" w:bidi="es-AR"/>
        </w:rPr>
        <w:t xml:space="preserve">Reseña en el artículo citado que los autores han brindado diferentes conceptos; así, para Díez-Picazo, el enriquecimiento sin causa se produce ante </w:t>
      </w:r>
      <w:r>
        <w:rPr>
          <w:i/>
          <w:color w:val="000000"/>
          <w:lang w:val="es-AR" w:eastAsia="es-AR" w:bidi="es-AR"/>
        </w:rPr>
        <w:t xml:space="preserve">"...un desplazamiento y su consiguiente atribución patrimonial, que carece de bases jurídicas fundantes (justa causa), y se da en desmedro de los derechos de otro, y de ese modo se debe restituir a quien sufrió el empobrecimiento" .</w:t>
      </w:r>
    </w:p>
    <w:p>
      <w:pPr>
        <w:pStyle w:val="[Normal]"/>
        <w:spacing w:line="360" w:lineRule="auto"/>
        <w:ind w:firstLine="1134"/>
        <w:jc w:val="both"/>
        <w:rPr>
          <w:color w:val="000000"/>
          <w:lang w:val="es-AR" w:eastAsia="es-AR" w:bidi="es-AR"/>
        </w:rPr>
      </w:pPr>
      <w:r>
        <w:rPr>
          <w:i/>
          <w:color w:val="000000"/>
          <w:lang w:val="es-AR" w:eastAsia="es-AR" w:bidi="es-AR"/>
        </w:rPr>
        <w:t xml:space="preserve">"Se trata de un principio jurídico que prohíbe enriquecerse a costa de otro sin razones fundadas, y la acción que se otorga al perjudicado por la disminución o el empobrecimiento tiene como finalidad restituir el equilibrio patrimonial alterado. O, como también aclara Puig Brutau, se habla de enriquecimiento injusto cuando la ley no ha previsto una situación en la que se produce un desplazamiento patrimonial que no encuentra una explicación razonable en el ordenamiento jurídico, a lo que agrega Álvarez Caperochipi que la acción de enriquecimiento debe configurarse como una acción recuperatoria de valor, para evitar los desequilibrios económicos que se derivan de las adquisiciones patrimoniales que, por otra parte no se corresponden con una causa válida de atribución" .</w:t>
      </w:r>
    </w:p>
    <w:p>
      <w:pPr>
        <w:pStyle w:val="[Normal]"/>
        <w:spacing w:line="360" w:lineRule="auto"/>
        <w:ind w:firstLine="1134"/>
        <w:jc w:val="both"/>
        <w:rPr>
          <w:color w:val="000000"/>
          <w:lang w:val="es-AR" w:eastAsia="es-AR" w:bidi="es-AR"/>
        </w:rPr>
      </w:pPr>
      <w:r>
        <w:rPr>
          <w:color w:val="000000"/>
          <w:lang w:val="es-AR" w:eastAsia="es-AR" w:bidi="es-AR"/>
        </w:rPr>
        <w:t xml:space="preserve">Sintéticamente he expuesto fragmentos de un artículo de doctrina del autor citado que ilustra en forma exhaustiva y precisa los alcances de esta factor de responsabilidad y que he de aplicar en la especie en tanto ordeno devolver la seña con más los intereses en el caso concreto para evitar desplazamientos patrimoniales injustos.</w:t>
      </w:r>
    </w:p>
    <w:p>
      <w:pPr>
        <w:pStyle w:val="[Normal]"/>
        <w:spacing w:line="360" w:lineRule="auto"/>
        <w:ind w:firstLine="1134"/>
        <w:jc w:val="both"/>
        <w:rPr>
          <w:color w:val="000000"/>
          <w:lang w:val="es-AR" w:eastAsia="es-AR" w:bidi="es-AR"/>
        </w:rPr>
      </w:pPr>
      <w:r>
        <w:rPr>
          <w:color w:val="000000"/>
          <w:lang w:val="es-AR" w:eastAsia="es-AR" w:bidi="es-AR"/>
        </w:rPr>
        <w:t xml:space="preserve">En una reseña exhaustiva y profunda el autor citado alude a la legislación prevista en el Código de Vélez así como el Código Civil y Comercial unificado dando precisiones sobre el tema que ameritan ser transcriptas.</w:t>
      </w:r>
    </w:p>
    <w:p>
      <w:pPr>
        <w:pStyle w:val="[Normal]"/>
        <w:spacing w:line="360" w:lineRule="auto"/>
        <w:ind w:firstLine="1134"/>
        <w:jc w:val="both"/>
        <w:rPr>
          <w:color w:val="000000"/>
          <w:lang w:val="es-AR" w:eastAsia="es-AR" w:bidi="es-AR"/>
        </w:rPr>
      </w:pPr>
      <w:r>
        <w:rPr>
          <w:color w:val="000000"/>
          <w:lang w:val="es-AR" w:eastAsia="es-AR" w:bidi="es-AR"/>
        </w:rPr>
        <w:t xml:space="preserve">Dijo: "En el viejo Código Civil argentino, Vélez Sarsfield siguió la tendencia del derecho francés, y de allí que no define expresamente la figura, si se nota su virtualidad en lo dispuesto en numerosas normas y en algunas de las notas con las que el codificador explicó las fuentes y razones de muchos de los artículos proyectados. A modo de ejemplo de lo primero, se pueden citar el art. 784, sobre el pago de lo indebido; el art. 728, en cuanto al pago por tercero cuando se realiza contra la voluntad del acreedor; el art. 907, en consideración de las consecuencias de hechos involuntarios en los supuestos en que se ocasiona un daño a otra persona; los arts. 589, 2427 y 2440, con respecto a las mejoras necesarias y útiles, si corresponde su reparación por quien se benefició de ellas, y muchos otros más donde se aplica el principio enunciado para resolver y dar solución a casos concretos .</w:t>
      </w:r>
    </w:p>
    <w:p>
      <w:pPr>
        <w:pStyle w:val="[Normal]"/>
        <w:spacing w:line="360" w:lineRule="auto"/>
        <w:ind w:firstLine="1134"/>
        <w:jc w:val="both"/>
        <w:rPr>
          <w:color w:val="000000"/>
          <w:lang w:val="es-AR" w:eastAsia="es-AR" w:bidi="es-AR"/>
        </w:rPr>
      </w:pPr>
      <w:r>
        <w:rPr>
          <w:color w:val="000000"/>
          <w:lang w:val="es-AR" w:eastAsia="es-AR" w:bidi="es-AR"/>
        </w:rPr>
        <w:t xml:space="preserve">A ello se adicionan algunas notas donde se acude al enriquecimiento sin causa. Tal es la que corresponde al art. 43 con relación a la responsabilidad civil de las personas jurídicas en el supuesto de que alguno de sus representantes u órganos cometa fraude beneficiando al ente y perjudicando a un tercero; en la extensa nota al art. 499, que -con la cita del jurista francés Ortolan- reafirma la "exigencia de una razón natural por la cual nadie debe enriquecerse en perjuicio de otro...". Lo mismo en las notas de los arts. 784 y 2589, lugar en que manifiesta que, por el principio de equidad, es regla en el derecho civil la que no permite enriquecerse con lo ajeno, etcétera.</w:t>
      </w:r>
    </w:p>
    <w:p>
      <w:pPr>
        <w:pStyle w:val="[Normal]"/>
        <w:spacing w:line="360" w:lineRule="auto"/>
        <w:ind w:firstLine="1134"/>
        <w:jc w:val="both"/>
        <w:rPr>
          <w:color w:val="000000"/>
          <w:lang w:val="es-AR" w:eastAsia="es-AR" w:bidi="es-AR"/>
        </w:rPr>
      </w:pPr>
      <w:r>
        <w:rPr>
          <w:color w:val="000000"/>
          <w:lang w:val="es-AR" w:eastAsia="es-AR" w:bidi="es-AR"/>
        </w:rPr>
        <w:t xml:space="preserve">Todo ello justifica y permite afirmar que, tal como fuera señalado de manera unánime por la doctrina y la jurisprudencia nacionales, el principio que impide enriquecerse sin razón jurídica suficiente en perjuicio ajeno recibía plena acogida en el viejo Código Civil .</w:t>
      </w:r>
    </w:p>
    <w:p>
      <w:pPr>
        <w:pStyle w:val="[Normal]"/>
        <w:spacing w:line="360" w:lineRule="auto"/>
        <w:ind w:firstLine="1134"/>
        <w:jc w:val="both"/>
        <w:rPr>
          <w:color w:val="000000"/>
          <w:lang w:val="es-AR" w:eastAsia="es-AR" w:bidi="es-AR"/>
        </w:rPr>
      </w:pPr>
      <w:r>
        <w:rPr>
          <w:color w:val="000000"/>
          <w:lang w:val="es-AR" w:eastAsia="es-AR" w:bidi="es-AR"/>
        </w:rPr>
        <w:t xml:space="preserve">VI. Regulación en el nuevo Código Civil y Comercial</w:t>
      </w:r>
    </w:p>
    <w:p>
      <w:pPr>
        <w:pStyle w:val="[Normal]"/>
        <w:spacing w:line="360" w:lineRule="auto"/>
        <w:ind w:firstLine="1134"/>
        <w:jc w:val="both"/>
        <w:rPr>
          <w:b/>
          <w:color w:val="000000"/>
          <w:lang w:val="es-AR" w:eastAsia="es-AR" w:bidi="es-AR"/>
        </w:rPr>
      </w:pPr>
      <w:r>
        <w:rPr>
          <w:color w:val="000000"/>
          <w:lang w:val="es-AR" w:eastAsia="es-AR" w:bidi="es-AR"/>
        </w:rPr>
        <w:t xml:space="preserve">El nuevo Código Civil y Comercial, que comenzó a regir el 01/08/2015, sigue la corriente del derecho germano y se ocupa de definir y regular el instituto en los arts. 1794 y 1795 (18)."</w:t>
      </w:r>
    </w:p>
    <w:p>
      <w:pPr>
        <w:pStyle w:val="[Normal]"/>
        <w:spacing w:line="360" w:lineRule="auto"/>
        <w:ind w:firstLine="1134"/>
        <w:jc w:val="both"/>
        <w:rPr>
          <w:color w:val="000000"/>
          <w:lang w:val="es-AR" w:eastAsia="es-AR" w:bidi="es-AR"/>
        </w:rPr>
      </w:pPr>
      <w:r>
        <w:rPr>
          <w:color w:val="000000"/>
          <w:lang w:val="es-AR" w:eastAsia="es-AR" w:bidi="es-AR"/>
        </w:rPr>
        <w:t xml:space="preserve">Este gran aporte doctrinario citado más las razones explicitadas dan cuenta entonces de la razonabilidad en ordenar el reintegro de la seña.</w:t>
      </w:r>
    </w:p>
    <w:p>
      <w:pPr>
        <w:pStyle w:val="[Normal]"/>
        <w:spacing w:line="360" w:lineRule="auto"/>
        <w:ind w:firstLine="1134"/>
        <w:jc w:val="both"/>
        <w:rPr>
          <w:color w:val="000000"/>
          <w:lang w:val="es-AR" w:eastAsia="es-AR" w:bidi="es-AR"/>
        </w:rPr>
      </w:pPr>
      <w:r>
        <w:rPr>
          <w:color w:val="000000"/>
          <w:lang w:val="es-AR" w:eastAsia="es-AR" w:bidi="es-AR"/>
        </w:rPr>
        <w:t xml:space="preserve">Con respecto a la aplicación de la ley de defensa al consumidor y la calidad invocada por la actora, que intenta justificar su posición acudiendo a la misma; si bien es cierto que se configura un microsistema normativo cuyo objeto es propender a la protección de los llamados consumidores con reglas especiales, ha de subrayarse que las mismas forman parte de un ordenamiento jurídico todo, y que la invocación y/ aplicación de estas normas no pueden justificar o exonerar un incumplimiento sólo escudándose en una legislación específica.-</w:t>
      </w:r>
    </w:p>
    <w:p>
      <w:pPr>
        <w:pStyle w:val="[Normal]"/>
        <w:spacing w:line="360" w:lineRule="auto"/>
        <w:ind w:firstLine="1134"/>
        <w:jc w:val="both"/>
        <w:rPr>
          <w:color w:val="000000"/>
          <w:lang w:val="es-AR" w:eastAsia="es-AR" w:bidi="es-AR"/>
        </w:rPr>
      </w:pPr>
      <w:r>
        <w:rPr>
          <w:color w:val="000000"/>
          <w:lang w:val="es-AR" w:eastAsia="es-AR" w:bidi="es-AR"/>
        </w:rPr>
        <w:t xml:space="preserve">No basta ser consumidor, invocar esta calidad para obtener un pronunciamiento favorable, sino que han de verificarse que los presupuestos que se invoquen y la solución del caso sea la adecuada con la conducta concreta.</w:t>
      </w:r>
    </w:p>
    <w:p>
      <w:pPr>
        <w:pStyle w:val="[Normal]"/>
        <w:spacing w:line="360" w:lineRule="auto"/>
        <w:ind w:firstLine="1134"/>
        <w:jc w:val="both"/>
        <w:rPr>
          <w:color w:val="000000"/>
          <w:lang w:val="es-AR" w:eastAsia="es-AR" w:bidi="es-AR"/>
        </w:rPr>
      </w:pPr>
      <w:r>
        <w:rPr>
          <w:color w:val="000000"/>
          <w:lang w:val="es-AR" w:eastAsia="es-AR" w:bidi="es-AR"/>
        </w:rPr>
        <w:t xml:space="preserve">O sea si es  consumidor, y por más que lo sea, si no ha cumplido con las prestaciones a su cargo en un contrato, no puede acudir al microsistema para justificar un incumplimiento, por más calidad que invoque.-</w:t>
      </w:r>
    </w:p>
    <w:p>
      <w:pPr>
        <w:pStyle w:val="[Normal]"/>
        <w:spacing w:line="360" w:lineRule="auto"/>
        <w:ind w:firstLine="1134"/>
        <w:jc w:val="both"/>
        <w:rPr>
          <w:color w:val="000000"/>
          <w:lang w:val="es-AR" w:eastAsia="es-AR" w:bidi="es-AR"/>
        </w:rPr>
      </w:pPr>
      <w:r>
        <w:rPr>
          <w:color w:val="000000"/>
          <w:lang w:val="es-AR" w:eastAsia="es-AR" w:bidi="es-AR"/>
        </w:rPr>
        <w:t xml:space="preserve">Es el lógico equilibrio que hay que lograr entre los institutos y principios normativos del orden interno en su totalidad.-</w:t>
      </w:r>
    </w:p>
    <w:p>
      <w:pPr>
        <w:pStyle w:val="[Normal]"/>
        <w:spacing w:line="360" w:lineRule="auto"/>
        <w:ind w:firstLine="1134"/>
        <w:jc w:val="both"/>
        <w:rPr>
          <w:color w:val="000000"/>
          <w:lang w:val="es-AR" w:eastAsia="es-AR" w:bidi="es-AR"/>
        </w:rPr>
      </w:pPr>
      <w:r>
        <w:rPr>
          <w:color w:val="000000"/>
          <w:lang w:val="es-AR" w:eastAsia="es-AR" w:bidi="es-AR"/>
        </w:rPr>
        <w:t xml:space="preserve">"La Corte Federal ha dicho en reiteradas ocasiones que es un principio de recta interpretación que los textos legales no deben ser considerados, a los efectos de establecer su sentido y alcance, aisladamente, sino correlacionándolos con los que disciplinan la misma materia, como un todo coherente y armónico, como partes de una estructura sistemática considerada en su conjunto y teniendo en cuenta la finalidad perseguida por aquellos (Fallos: 242:247; 320:783; 324:4367; 338:962)".  Cfr Monterisi fallo </w:t>
      </w:r>
    </w:p>
    <w:p>
      <w:pPr>
        <w:pStyle w:val="[Normal]"/>
        <w:spacing w:line="360" w:lineRule="auto"/>
        <w:ind w:firstLine="1134"/>
        <w:jc w:val="both"/>
        <w:rPr>
          <w:color w:val="000000"/>
          <w:lang w:val="es-AR" w:eastAsia="es-AR" w:bidi="es-AR"/>
        </w:rPr>
      </w:pPr>
      <w:r>
        <w:rPr>
          <w:color w:val="000000"/>
          <w:lang w:val="es-AR" w:eastAsia="es-AR" w:bidi="es-AR"/>
        </w:rPr>
        <w:t xml:space="preserve">La referencia que el quejoso formula en punto a la denuncia penal que realizara la empresa contra quien fuera su empleado, en tanto recibiera el pago y se consignara por un importe menor, en esta sede ha quedado despejado por cuanto el recibo y la valoración probatoria efectuada por la jueza de grado sobre los elementos aportados ,  coinciden con el monto que dice entregado el actor. De tal modo que la suerte de aquel proceso penal entre empleador y empleado, no cambia la suerte  en las cuestiones que  aquí se ventilan y la falta de concresión de la operación sobre vehículo no fue imputable a la relación empleador empleado que dio origen a una causa penal, en cuanto el importe que dijo entregado en concepto de seña el actor fue admitido por la magistrada de grado.</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w:t>
      </w:r>
    </w:p>
    <w:p>
      <w:pPr>
        <w:pStyle w:val="[Normal]"/>
        <w:spacing w:line="36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al recurso de apelación deducido por la parte actora, sólo en punto al importe correspondiente a la seña dada de $ 6.700, ordenando que la parte demandada Pergamino Automotores S.A.  le reintegre a la accionante Olga Rosa Guerra  dentro de 10 días de notificada la presente dicha suma con más los intereses a la  tasa pasiva más alta que paga el Banco de la Provincia de Buenos Aires en sus depósitos a treinta días desde la fecha de su  entrega (17/01/2012)  hasta la de su efectivo pago. Las costas de Alzada conforme fuera el resultado obtenido, se aplican en un 30% a la parte demandada, y en un 70 % a la parte actora, conforme fuera resuelta la cuestión  (arts. 68, 69 y ccs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por sus trabajos en Alzada, hasta que obre liquidación firme.</w:t>
      </w:r>
    </w:p>
    <w:p>
      <w:pPr>
        <w:pStyle w:val="[Normal]"/>
        <w:spacing w:line="360" w:lineRule="auto"/>
        <w:ind w:firstLine="1134"/>
        <w:jc w:val="both"/>
        <w:rPr>
          <w:color w:val="000000"/>
          <w:lang w:val="es-AR" w:eastAsia="es-AR" w:bidi="es-AR"/>
        </w:rPr>
      </w:pPr>
      <w:r>
        <w:rPr>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 </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color w:val="000000"/>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parcialmente al recurso de apelación deducido por la parte actora, sólo en punto al importe correspondiente a la seña dada de $ 6.700,  ordenando que la parte demandada Pergamino Automotores S.A.  le reintegre a la accionante Olga Rosa Guerra dentro de 10 días de notificada la presente dicho importe, con más los intereses a la  tasa pasiva más alta que paga el Banco de la Provincia de Buenos Aires en sus depósitos a treinta días desde la fecha de su  entrega (17/01/2012) y hasta la de su efectivo pago.</w:t>
      </w:r>
    </w:p>
    <w:p>
      <w:pPr>
        <w:pStyle w:val="[Normal]"/>
        <w:spacing w:line="360" w:lineRule="auto"/>
        <w:ind w:firstLine="1134"/>
        <w:jc w:val="both"/>
        <w:rPr>
          <w:color w:val="000000"/>
          <w:lang w:val="es-AR" w:eastAsia="es-AR" w:bidi="es-AR"/>
        </w:rPr>
      </w:pPr>
      <w:r>
        <w:rPr>
          <w:color w:val="000000"/>
          <w:lang w:val="es-AR" w:eastAsia="es-AR" w:bidi="es-AR"/>
        </w:rPr>
        <w:t xml:space="preserve">Las costas de Alzada se aplican en un 30% a la parte demandada, y en un 70% a la parte actora  (arts. 68, 69 y ccs  del CPCC y su doctrina).</w:t>
      </w:r>
    </w:p>
    <w:p>
      <w:pPr>
        <w:pStyle w:val="[Normal]"/>
        <w:spacing w:line="360" w:lineRule="auto"/>
        <w:ind w:firstLine="1134"/>
        <w:jc w:val="both"/>
        <w:rPr>
          <w:color w:val="000000"/>
          <w:lang w:val="es-AR" w:eastAsia="es-AR" w:bidi="es-AR"/>
        </w:rPr>
      </w:pPr>
      <w:r>
        <w:rPr>
          <w:color w:val="000000"/>
          <w:lang w:val="es-AR" w:eastAsia="es-AR" w:bidi="es-AR"/>
        </w:rPr>
        <w:t xml:space="preserve">Diferir la regulación de honorarios de los letrados por sus trabajos en Alzada, hasta que obre liquidación firme.</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20286683372@NOTIFICACIONES.SCBA.GOV.AR</w:t>
      </w:r>
    </w:p>
    <w:p>
      <w:pPr>
        <w:pStyle w:val="[Normal]"/>
        <w:rPr>
          <w:color w:val="000000"/>
          <w:lang w:val="es-AR" w:eastAsia="es-AR" w:bidi="es-AR"/>
        </w:rPr>
      </w:pPr>
      <w:r>
        <w:rPr>
          <w:color w:val="000000"/>
          <w:lang w:val="es-AR" w:eastAsia="es-AR" w:bidi="es-AR"/>
        </w:rPr>
        <w:t xml:space="preserve">20228999262@NOTIFICACIONES.SCBA.GOV.AR</w:t>
      </w:r>
    </w:p>
    <w:p>
      <w:pPr>
        <w:pStyle w:val="[Normal]"/>
        <w:rPr>
          <w:color w:val="000000"/>
          <w:lang w:val="es-AR" w:eastAsia="es-AR" w:bidi="es-AR"/>
        </w:rPr>
      </w:pPr>
      <w:r>
        <w:rPr>
          <w:color w:val="000000"/>
          <w:lang w:val="es-AR" w:eastAsia="es-AR" w:bidi="es-AR"/>
        </w:rPr>
        <w:t xml:space="preserve">20167480463@NOTIFICACIONES.SCBA.GOV.AR</w:t>
      </w:r>
    </w:p>
    <w:p>
      <w:pPr>
        <w:pStyle w:val="[Normal]"/>
        <w:rPr>
          <w:color w:val="000000"/>
          <w:lang w:val="es-AR" w:eastAsia="es-AR" w:bidi="es-AR"/>
        </w:rPr>
      </w:pPr>
      <w:r>
        <w:rPr>
          <w:color w:val="000000"/>
          <w:lang w:val="es-AR" w:eastAsia="es-AR" w:bidi="es-AR"/>
        </w:rPr>
        <w:t xml:space="preserve">20126773618@NOTIFICACIONES.SCBA.GOV.AR</w:t>
      </w:r>
    </w:p>
    <w:p>
      <w:pPr>
        <w:pStyle w:val="[Normal]"/>
        <w:rPr>
          <w:color w:val="000000"/>
          <w:lang w:val="es-AR" w:eastAsia="es-AR" w:bidi="es-AR"/>
        </w:rPr>
      </w:pPr>
    </w:p>
    <w:p>
      <w:pPr>
        <w:pStyle w:val="[Normal]"/>
        <w:rPr>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09:26:37 -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09:57:36 -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22/04/2021 12:31:11 -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20126773618@NOTIFICACIONES.SCBA.GOV.AR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20167480463@NOTIFICACIONES.SCBA.GOV.AR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20228999262@NOTIFICACIONES.SCBA.GOV.AR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‰7S")è%-22qŠ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235102090005131818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6" w:h="16837"/>
      <w:pgMar w:top="340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4134 - 20 - GUERRA OLGA ROSA  C/ PERGAMINO AUTOMOTORES S.A. S/CUMPLIMIENTO DE CONTRATOS CIVILES/COMERCIALES    </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‰7S")è%-22qŠ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color w:val="000000"/>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