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39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188/198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15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4140-20</w:t>
      </w:r>
      <w:r>
        <w:rPr>
          <w:lang w:val="es-AR" w:eastAsia="es-AR" w:bidi="es-AR"/>
        </w:rPr>
        <w:t xml:space="preserve"> caratulada </w:t>
      </w:r>
      <w:r>
        <w:rPr>
          <w:b/>
          <w:lang w:val="es-AR" w:eastAsia="es-AR" w:bidi="es-AR"/>
        </w:rPr>
        <w:t xml:space="preserve">"</w:t>
      </w:r>
      <w:r>
        <w:rPr>
          <w:b/>
          <w:color w:val="000000"/>
          <w:lang w:val="es-AR" w:eastAsia="es-AR" w:bidi="es-AR"/>
        </w:rPr>
        <w:t xml:space="preserve">BATCH ANTONIO ANGEL C/ DONZA JUANA EMILIA Y OTROS S/DAÑOS Y PERJ. INCUMP. CONTRACTUAL (EXC. ESTADO)</w:t>
      </w:r>
      <w:r>
        <w:rPr>
          <w:b/>
          <w:lang w:val="es-AR" w:eastAsia="es-AR" w:bidi="es-AR"/>
        </w:rPr>
        <w:t xml:space="preserve">"</w:t>
      </w:r>
      <w:r>
        <w:rPr>
          <w:lang w:val="es-AR" w:eastAsia="es-AR" w:bidi="es-AR"/>
        </w:rPr>
        <w:t xml:space="preserve">, Expte. N° 68.931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¿Fue debidamente rechazada la demanda en la sentencia apelada?.</w:t>
      </w:r>
    </w:p>
    <w:p>
      <w:pPr>
        <w:pStyle w:val="[Normal]"/>
        <w:spacing w:line="360" w:lineRule="auto"/>
        <w:ind w:firstLine="1134"/>
        <w:jc w:val="both"/>
        <w:rPr>
          <w:lang w:val="es-AR" w:eastAsia="es-AR" w:bidi="es-AR"/>
        </w:rPr>
      </w:pPr>
      <w:r>
        <w:rPr>
          <w:lang w:val="es-AR" w:eastAsia="es-AR" w:bidi="es-AR"/>
        </w:rPr>
        <w:t xml:space="preserve">II ) En su caso, los honorarios regulados se ajustan a derecho?.</w:t>
      </w:r>
    </w:p>
    <w:p>
      <w:pPr>
        <w:pStyle w:val="[Normal]"/>
        <w:spacing w:line="360" w:lineRule="auto"/>
        <w:ind w:firstLine="1134"/>
        <w:jc w:val="both"/>
        <w:rPr>
          <w:lang w:val="es-AR" w:eastAsia="es-AR" w:bidi="es-AR"/>
        </w:rPr>
      </w:pPr>
      <w:r>
        <w:rPr>
          <w:lang w:val="es-AR" w:eastAsia="es-AR" w:bidi="es-AR"/>
        </w:rPr>
        <w:t xml:space="preserve">III )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dictó sentencia en las presentes actuaciones y rechazó  la demanda oportunamente incoada por daños y perjuicios por incumplimiento contractual por el Sr. Antonio Angel Batch, contra la Sra. Juana Emilia Donza, la Sra. Stella Maris Donza, la Sra. Maria Cristina Donza, el Sr. Juan Lucio Donza, la Sra. Mirta Lujan Donza, el Sr. Roberto Sebastián Donza y la Sra. Maria Rosa Donza.  Aplicó las costas a la parte actora que resulta vencida (art. 68 C.P.C.) y reguló  los honorarios de los letrados intervinientes, teniendo en cuenta lo dispuesto en el considerando IV de la presente y tomando como base el monto de demanda, Dr. Juan Daniel Assaf, Dra. Fernanda Burga, Dra. Juliana Labaronnie, Dr. Aquilino Jose Giacomeli y Dr. Ricardo Labaronnie, por sus trabajos realizados en autos, en las sumas de CINCO MIL DOSCIENTOS Pesos ($5.200), de CUATRO MIL SEISCIENTOS OCHENTA Y OCHO Pesos ($4.688), de CUATRO MIL SEISCIENTOS OCHENTA Y OCHO Pesos ($4.688), de CUATRO MIL SEISCIENTOS OCHENTA Y OCHO Pesos ($4.688) y de CUATRO MIL SEISCIENTOS OCHENTA Y OCHO Pesos ($4.688), respectivamente (arts. 9, 14/18, 21, 22 y 28 ley 8904; 1 dec. 522/17, 7 y 730 C.C.C.N; 13, 14 y 15 de la ley 24.432, y ccs.); con más el 10% en concepto de contribuciones del art. 12 inc. "a" de la ley 6716, y el porcentaje de ley previsto para el IVA en cuanto correspondiere, a cargo  de  la parte obligada (arts. 3, 9, 10 y ccs. de la ley 23.349). También determinó los honorarios profesionales de los Sres. Peritos intervinientes en  la causa.</w:t>
      </w:r>
    </w:p>
    <w:p>
      <w:pPr>
        <w:pStyle w:val="[Normal]"/>
        <w:spacing w:line="360" w:lineRule="auto"/>
        <w:ind w:firstLine="1134"/>
        <w:jc w:val="both"/>
        <w:rPr>
          <w:lang w:val="es-AR" w:eastAsia="es-AR" w:bidi="es-AR"/>
        </w:rPr>
      </w:pPr>
      <w:r>
        <w:rPr>
          <w:lang w:val="es-AR" w:eastAsia="es-AR" w:bidi="es-AR"/>
        </w:rPr>
        <w:t xml:space="preserve">Lo decidido motivó el recurso de apelación por parte del accionante de autos en fecha 09 / 12 / 2019 y también lo hace por si el Dr. Ricardo Labarannie, quien además invoca personería por la Dra. Juliana Labaronnie y en la misma presentación lo fundamenta (16/03/20), argumentos que son rebatidos por la parte actora en fecha 13 / 05 / 2020.</w:t>
      </w:r>
    </w:p>
    <w:p>
      <w:pPr>
        <w:pStyle w:val="[Normal]"/>
        <w:spacing w:line="360" w:lineRule="auto"/>
        <w:ind w:firstLine="1134"/>
        <w:jc w:val="both"/>
        <w:rPr>
          <w:lang w:val="es-AR" w:eastAsia="es-AR" w:bidi="es-AR"/>
        </w:rPr>
      </w:pPr>
      <w:r>
        <w:rPr>
          <w:lang w:val="es-AR" w:eastAsia="es-AR" w:bidi="es-AR"/>
        </w:rPr>
        <w:t xml:space="preserve">Llegados los autos a esta Instancia, por medio electrónico de fecha 08/02/2021 la parte actora expresa agravios, los que son respondidos por la contraria por el mismo medio  en 22 / 02 / 2021.</w:t>
      </w:r>
    </w:p>
    <w:p>
      <w:pPr>
        <w:pStyle w:val="[Normal]"/>
        <w:spacing w:line="360" w:lineRule="auto"/>
        <w:ind w:firstLine="1134"/>
        <w:jc w:val="both"/>
        <w:rPr>
          <w:lang w:val="es-AR" w:eastAsia="es-AR" w:bidi="es-AR"/>
        </w:rPr>
      </w:pPr>
      <w:r>
        <w:rPr>
          <w:lang w:val="es-AR" w:eastAsia="es-AR" w:bidi="es-AR"/>
        </w:rPr>
        <w:t xml:space="preserve">En fecha 2 de Marzo de 2021, se llaman los autos para sentencia, resolución que firme a la fecha deja a la causa en condiciones de ser fallada ( arts. 263 y ccs. CPC., art. 268 y 270 Const. Prov. Bs. A.s).</w:t>
      </w:r>
    </w:p>
    <w:p>
      <w:pPr>
        <w:pStyle w:val="[Normal]"/>
        <w:spacing w:line="360" w:lineRule="auto"/>
        <w:ind w:firstLine="1134"/>
        <w:jc w:val="both"/>
        <w:rPr>
          <w:lang w:val="es-AR" w:eastAsia="es-AR" w:bidi="es-AR"/>
        </w:rPr>
      </w:pPr>
      <w:r>
        <w:rPr>
          <w:b/>
          <w:lang w:val="es-AR" w:eastAsia="es-AR" w:bidi="es-AR"/>
        </w:rPr>
        <w:t xml:space="preserve">Agravios de la parte actora:</w:t>
      </w:r>
    </w:p>
    <w:p>
      <w:pPr>
        <w:pStyle w:val="[Normal]"/>
        <w:spacing w:line="360" w:lineRule="auto"/>
        <w:ind w:firstLine="1134"/>
        <w:jc w:val="both"/>
        <w:rPr>
          <w:lang w:val="es-AR" w:eastAsia="es-AR" w:bidi="es-AR"/>
        </w:rPr>
      </w:pPr>
      <w:r>
        <w:rPr>
          <w:lang w:val="es-AR" w:eastAsia="es-AR" w:bidi="es-AR"/>
        </w:rPr>
        <w:t xml:space="preserve">Principia la parte apelante haciendo una reseña de los hechos, luego transcribe párrafos de la sentencia para luego entrar en los agravios causados , denunciando la violación del principio de congruencia.</w:t>
      </w:r>
    </w:p>
    <w:p>
      <w:pPr>
        <w:pStyle w:val="[Normal]"/>
        <w:spacing w:line="360" w:lineRule="auto"/>
        <w:ind w:firstLine="1134"/>
        <w:jc w:val="both"/>
        <w:rPr>
          <w:lang w:val="es-AR" w:eastAsia="es-AR" w:bidi="es-AR"/>
        </w:rPr>
      </w:pPr>
      <w:r>
        <w:rPr>
          <w:lang w:val="es-AR" w:eastAsia="es-AR" w:bidi="es-AR"/>
        </w:rPr>
        <w:t xml:space="preserve">Así dice, que la pretensión actoral, tiende a obtener el reconocimiento judicial de la diferencia de precio del dólar estadounidense ocurrida con posterioridad al tiempo en que debía otorgarse la escritura y el día en que finalmente ello ocurrió, siendo ello una cuestión objetiva a decidir,  esto es si el mayor valor de la prestación a cargo del actor, por el hecho de los incumplidores, debe soportarlo la parte inocente. Es decir, que los que incumplieron el contrato se enriquecieron sin causa en una contraprestación, en más del 20% y así el inocente paga más de lo pactado.</w:t>
      </w:r>
    </w:p>
    <w:p>
      <w:pPr>
        <w:pStyle w:val="[Normal]"/>
        <w:spacing w:line="360" w:lineRule="auto"/>
        <w:ind w:firstLine="1134"/>
        <w:jc w:val="both"/>
        <w:rPr>
          <w:lang w:val="es-AR" w:eastAsia="es-AR" w:bidi="es-AR"/>
        </w:rPr>
      </w:pPr>
      <w:r>
        <w:rPr>
          <w:lang w:val="es-AR" w:eastAsia="es-AR" w:bidi="es-AR"/>
        </w:rPr>
        <w:t xml:space="preserve">Señala  que  ello no fue encuadrado así por el sentenciante, quien se expidió  en relación a la falta de perjuicio para el actor por ser una obligación en dólares apartándose así de lo propuesto en demanda.</w:t>
      </w:r>
    </w:p>
    <w:p>
      <w:pPr>
        <w:pStyle w:val="[Normal]"/>
        <w:spacing w:line="360" w:lineRule="auto"/>
        <w:ind w:firstLine="1134"/>
        <w:jc w:val="both"/>
        <w:rPr>
          <w:lang w:val="es-AR" w:eastAsia="es-AR" w:bidi="es-AR"/>
        </w:rPr>
      </w:pPr>
      <w:r>
        <w:rPr>
          <w:lang w:val="es-AR" w:eastAsia="es-AR" w:bidi="es-AR"/>
        </w:rPr>
        <w:t xml:space="preserve">Se duele también, en tanto la fecha estipulada para escriturar (15/11/2012) fue incumplida por dos de los vendedores que se hallaban inhibidos en el Registro de la Propiedad Inmueble y que luego se intimó por medio de carta documento de fecha 4 de diciembre de 2012 para que en el plazo de quince días cumplieran con su obligación  de escriturar.</w:t>
      </w:r>
    </w:p>
    <w:p>
      <w:pPr>
        <w:pStyle w:val="[Normal]"/>
        <w:spacing w:line="360" w:lineRule="auto"/>
        <w:ind w:firstLine="1134"/>
        <w:jc w:val="both"/>
        <w:rPr>
          <w:lang w:val="es-AR" w:eastAsia="es-AR" w:bidi="es-AR"/>
        </w:rPr>
      </w:pPr>
      <w:r>
        <w:rPr>
          <w:lang w:val="es-AR" w:eastAsia="es-AR" w:bidi="es-AR"/>
        </w:rPr>
        <w:t xml:space="preserve">Y que, frente a ello el Sr. juez a-quo, entendió que no se probó la entrega de la misiva, siendo ésta instrumento público por lo que el mero desconocimiento no inhibe su autenticidad.</w:t>
      </w:r>
    </w:p>
    <w:p>
      <w:pPr>
        <w:pStyle w:val="[Normal]"/>
        <w:spacing w:line="360" w:lineRule="auto"/>
        <w:ind w:firstLine="1134"/>
        <w:jc w:val="both"/>
        <w:rPr>
          <w:lang w:val="es-AR" w:eastAsia="es-AR" w:bidi="es-AR"/>
        </w:rPr>
      </w:pPr>
      <w:r>
        <w:rPr>
          <w:lang w:val="es-AR" w:eastAsia="es-AR" w:bidi="es-AR"/>
        </w:rPr>
        <w:t xml:space="preserve">Lo afecta también lo decidido, en relación al argumento de la sentencia  que  considera  aplicable la teoría de los actos propios al haberse pactado en la cláusula 8va., el pago en moneda dólar estadounidense,  y así los riesgos de la variación fueron asumidos incluso al acordarse  la renuncia al uso de la teoría de la imprevisión.</w:t>
      </w:r>
    </w:p>
    <w:p>
      <w:pPr>
        <w:pStyle w:val="[Normal]"/>
        <w:spacing w:line="360" w:lineRule="auto"/>
        <w:ind w:firstLine="1134"/>
        <w:jc w:val="both"/>
        <w:rPr>
          <w:lang w:val="es-AR" w:eastAsia="es-AR" w:bidi="es-AR"/>
        </w:rPr>
      </w:pPr>
      <w:r>
        <w:rPr>
          <w:lang w:val="es-AR" w:eastAsia="es-AR" w:bidi="es-AR"/>
        </w:rPr>
        <w:t xml:space="preserve">Ello, por cuanto el riesgo asumido por su parte comprendía al que ocurriere al tiempo a transcurrir entre la firma del boleto y la escrituración pero no el transcurrido con posterioridad a la fecha pactada para el acto escriturario, siendo un hecho objetivo el incremento de la moneda extranjera por lo que al tiempo de la firma de la escritura el saldo adeudado se hallaba incrementado en un 20,84%, que benefició a los vendedores y los enriqueció sin causa.</w:t>
      </w:r>
    </w:p>
    <w:p>
      <w:pPr>
        <w:pStyle w:val="[Normal]"/>
        <w:spacing w:line="360" w:lineRule="auto"/>
        <w:ind w:firstLine="1134"/>
        <w:jc w:val="both"/>
        <w:rPr>
          <w:lang w:val="es-AR" w:eastAsia="es-AR" w:bidi="es-AR"/>
        </w:rPr>
      </w:pPr>
      <w:r>
        <w:rPr>
          <w:lang w:val="es-AR" w:eastAsia="es-AR" w:bidi="es-AR"/>
        </w:rPr>
        <w:t xml:space="preserve">Concluye diciendo que el fallo es injusto por lo que requiere su oportuna revocación.</w:t>
      </w:r>
    </w:p>
    <w:p>
      <w:pPr>
        <w:pStyle w:val="[Normal]"/>
        <w:spacing w:line="360" w:lineRule="auto"/>
        <w:ind w:firstLine="1134"/>
        <w:jc w:val="both"/>
        <w:rPr>
          <w:lang w:val="es-AR" w:eastAsia="es-AR" w:bidi="es-AR"/>
        </w:rPr>
      </w:pPr>
      <w:r>
        <w:rPr>
          <w:lang w:val="es-AR" w:eastAsia="es-AR" w:bidi="es-AR"/>
        </w:rPr>
        <w:t xml:space="preserve">Solamente la codemandada Juana E. Donza por la parte contraria replica los agravios denunciados, considera que la pieza recursiva no abastece el recaudo legal del art. 260 del CPC. y realza  el argumento de la renuncia que efectuó el actor a invocar la teoría de la imprevisión. Finalmente, reitera los argumentos de su apelación en punto a la regulación de los honorarios profesionales.</w:t>
      </w:r>
    </w:p>
    <w:p>
      <w:pPr>
        <w:pStyle w:val="[Normal]"/>
        <w:spacing w:line="360" w:lineRule="auto"/>
        <w:ind w:firstLine="1134"/>
        <w:jc w:val="both"/>
        <w:rPr>
          <w:b/>
          <w:lang w:val="es-AR" w:eastAsia="es-AR" w:bidi="es-AR"/>
        </w:rPr>
      </w:pPr>
      <w:r>
        <w:rPr>
          <w:b/>
          <w:lang w:val="es-AR" w:eastAsia="es-AR" w:bidi="es-AR"/>
        </w:rPr>
        <w:t xml:space="preserve">Agravios de los Dres. Juliana y Ricardo Labaronnie:</w:t>
      </w:r>
    </w:p>
    <w:p>
      <w:pPr>
        <w:pStyle w:val="[Normal]"/>
        <w:spacing w:line="360" w:lineRule="auto"/>
        <w:ind w:firstLine="1134"/>
        <w:jc w:val="both"/>
        <w:rPr>
          <w:lang w:val="es-AR" w:eastAsia="es-AR" w:bidi="es-AR"/>
        </w:rPr>
      </w:pPr>
      <w:r>
        <w:rPr>
          <w:lang w:val="es-AR" w:eastAsia="es-AR" w:bidi="es-AR"/>
        </w:rPr>
        <w:t xml:space="preserve">Se alzan los apelantes contra el segundo punto de la sentencia  en orden a la regulación de honorarios practicada estimando que inobserva la aplicación del Art. 23 de la Ley 14.967 el que transcribe.</w:t>
      </w:r>
    </w:p>
    <w:p>
      <w:pPr>
        <w:pStyle w:val="[Normal]"/>
        <w:spacing w:line="360" w:lineRule="auto"/>
        <w:ind w:firstLine="1134"/>
        <w:jc w:val="both"/>
        <w:rPr>
          <w:lang w:val="es-AR" w:eastAsia="es-AR" w:bidi="es-AR"/>
        </w:rPr>
      </w:pPr>
      <w:r>
        <w:rPr>
          <w:lang w:val="es-AR" w:eastAsia="es-AR" w:bidi="es-AR"/>
        </w:rPr>
        <w:t xml:space="preserve">En función de ello  entienden que deberá ser dejada sin efecto la parte cuestionada del fallo y ordenar el pago  una vez practicada liquidación de intereses sobre la suma demandada tal cual lo establece el citado art. 23, en tanto que la actuación de ambos profesionales se desarrolló durante la vigencia del nuevo texto legal ( L.H.P. 14.967).</w:t>
      </w:r>
    </w:p>
    <w:p>
      <w:pPr>
        <w:pStyle w:val="[Normal]"/>
        <w:spacing w:line="360" w:lineRule="auto"/>
        <w:ind w:firstLine="1134"/>
        <w:jc w:val="both"/>
        <w:rPr>
          <w:lang w:val="es-AR" w:eastAsia="es-AR" w:bidi="es-AR"/>
        </w:rPr>
      </w:pPr>
      <w:r>
        <w:rPr>
          <w:lang w:val="es-AR" w:eastAsia="es-AR" w:bidi="es-AR"/>
        </w:rPr>
        <w:t xml:space="preserve">La parte actora desestima los argumentos vertidos por los letrados en sus agravios, por cuanto considera que la labor profesional no  se desarrolló  bajo la vigencia de la ley 14.967 y por ello  no corresponde la aplicación de esa norma para la regulación sino el art. 23 de la Ley 8904 y por ello entiende que debe desestimarse  el recurso de apelación.</w:t>
      </w:r>
    </w:p>
    <w:p>
      <w:pPr>
        <w:pStyle w:val="[Normal]"/>
        <w:spacing w:line="360" w:lineRule="auto"/>
        <w:ind w:firstLine="1134"/>
        <w:jc w:val="both"/>
        <w:rPr>
          <w:lang w:val="es-AR" w:eastAsia="es-AR" w:bidi="es-AR"/>
        </w:rPr>
      </w:pPr>
      <w:r>
        <w:rPr>
          <w:b/>
          <w:lang w:val="es-AR" w:eastAsia="es-AR" w:bidi="es-AR"/>
        </w:rPr>
        <w:t xml:space="preserve">En tarea de decidir</w:t>
      </w:r>
      <w:r>
        <w:rPr>
          <w:lang w:val="es-AR" w:eastAsia="es-AR" w:bidi="es-AR"/>
        </w:rPr>
        <w:t xml:space="preserve">, he de tratar primeramente la apelación deducida por la parte actora por que su resultado ha de influir necesariamente en el planteo efectuado por los Dres. Juliana y Ricardo Labaronnie.</w:t>
      </w:r>
    </w:p>
    <w:p>
      <w:pPr>
        <w:pStyle w:val="[Normal]"/>
        <w:spacing w:line="360" w:lineRule="auto"/>
        <w:ind w:firstLine="1134"/>
        <w:jc w:val="both"/>
        <w:rPr>
          <w:lang w:val="es-AR" w:eastAsia="es-AR" w:bidi="es-AR"/>
        </w:rPr>
      </w:pPr>
      <w:r>
        <w:rPr>
          <w:lang w:val="es-AR" w:eastAsia="es-AR" w:bidi="es-AR"/>
        </w:rPr>
        <w:t xml:space="preserve">Así analizando los antecedentes que informan a la causa, los términos de la sentencia y los agravios reseñados, soy de opinión que aquella debe ser confirmada aunque por otros argumentos.</w:t>
      </w:r>
    </w:p>
    <w:p>
      <w:pPr>
        <w:pStyle w:val="[Normal]"/>
        <w:spacing w:line="360" w:lineRule="auto"/>
        <w:ind w:firstLine="1134"/>
        <w:jc w:val="both"/>
        <w:rPr>
          <w:lang w:val="es-AR" w:eastAsia="es-AR" w:bidi="es-AR"/>
        </w:rPr>
      </w:pPr>
      <w:r>
        <w:rPr>
          <w:lang w:val="es-AR" w:eastAsia="es-AR" w:bidi="es-AR"/>
        </w:rPr>
        <w:t xml:space="preserve">En relación a la congruencia, como señalara este Tribunal en Causa 2298/15 cabe primeramente recordar que en el proceso civil rige el sistema dispositivo que importa "confiar a la actividad particular de los litigantes tanto el estímulo de la función jurisdiccional la afirmación de los antecedentes de hecho como también la aportación de los materiales de prueba sobre los cuales, en definitiva ha de recaer la decisión jurisdiccional" (Morello, Sosa, Berizonce "Códigos Procesales...", Bs. As. 1982, Tº I, pág. 570 y ss). Del mismo se deriva el principio de congruencia consagrado por los arts. 34 inc. 4º, 163 inc. 6º y 164 del CPCC, que puede definirse como "la conformidad que ha de existir entre la sentencia y la pretensión o pretensiones que constituyen el objeto del proceso, más la oposición u oposiciones  en cuanto delimitan ese objeto". Y la doctrina y jurisprudencia han expresado al respecto que las sentencias judiciales deben atenerse a la situación que existía al momento de trabarse el debate, resolver con arreglo a las acciones deducidas en el juicio, pronunciarse sobre todo lo que piden las partes y sólo sobre ello, decidir las peticiones concretas, encuadrarse en el marco de los hechos y pretensiones precisas que se hayan traído a  conocimiento y resolución del órgano y guardar correspondencia con la demanda en cuanto a las personas, el objeto y la causa. No debe considerar el juez otras cuestiones más que las incluidas en la relación procesal -es decir en las pretensiones deducidas por el actor o reconviniente y en la oposición del demandado o reconvenido-, no pudiendo pronunciarse sobre pretensiones no deducidas, cosas no pedidas o solicitudes no formuladas por los mismos, so pena de lesionar las garantías constitucionales de la propiedad y la defensa en juicio (Morello, ob. cit., Tº II-C, Bs. As. 1986, pág. 78 y ss.)...". (Cam. Civ. Com. y de Flia Pergamino, Causa 2298-15, RSD N°   145 /2015 del 17/12/2015, caratulados "CACERES, SANTA C/ CHURIN, HÉCTOR  Y OTRO S/ ENRIQUECIMIENTO SIN CAUSA").</w:t>
      </w:r>
    </w:p>
    <w:p>
      <w:pPr>
        <w:pStyle w:val="[Normal]"/>
        <w:spacing w:line="360" w:lineRule="auto"/>
        <w:ind w:firstLine="1134"/>
        <w:jc w:val="both"/>
        <w:rPr>
          <w:lang w:val="es-AR" w:eastAsia="es-AR" w:bidi="es-AR"/>
        </w:rPr>
      </w:pPr>
      <w:r>
        <w:rPr>
          <w:lang w:val="es-AR" w:eastAsia="es-AR" w:bidi="es-AR"/>
        </w:rPr>
        <w:t xml:space="preserve">Y, desde esta base no se advierte que el sentenciante haya violado el principio de congruencia toda vez que la pretensión indemnizatoria se sustentaba en el boleto de compraventa celebrado entre las partes, entendiendo que de los términos de su redacción el pedimento no podía recibirse,  adecuándose  la sentencia a los sujetos, el objeto y la  causa  que  individualizan a la pretensión y a al oposición (Gabriel E. Quadri: "Los Recursos Ordinarios en el Proceso Civil y Comercial de la Prov. Bs. As. p. 404).</w:t>
      </w:r>
    </w:p>
    <w:p>
      <w:pPr>
        <w:pStyle w:val="[Normal]"/>
        <w:spacing w:line="360" w:lineRule="auto"/>
        <w:ind w:firstLine="1134"/>
        <w:jc w:val="both"/>
        <w:rPr>
          <w:lang w:val="es-AR" w:eastAsia="es-AR" w:bidi="es-AR"/>
        </w:rPr>
      </w:pPr>
      <w:r>
        <w:rPr>
          <w:lang w:val="es-AR" w:eastAsia="es-AR" w:bidi="es-AR"/>
        </w:rPr>
        <w:t xml:space="preserve">Sentado ello podemos decir que el agravio, a modo de resumen, quedó centrado en el hecho que conforme a los términos del boleto de compra venta, la cláusula en dólares y la renuncia a la invocación de la teoría de la imprevisión, han quedado sin efecto por cuanto los riesgos asumidos por el apelante lo fueron en tanto y en cuanto se cumpliera con el plazo estipulado.</w:t>
      </w:r>
    </w:p>
    <w:p>
      <w:pPr>
        <w:pStyle w:val="[Normal]"/>
        <w:spacing w:line="360" w:lineRule="auto"/>
        <w:ind w:firstLine="1134"/>
        <w:jc w:val="both"/>
        <w:rPr>
          <w:lang w:val="es-AR" w:eastAsia="es-AR" w:bidi="es-AR"/>
        </w:rPr>
      </w:pPr>
      <w:r>
        <w:rPr>
          <w:lang w:val="es-AR" w:eastAsia="es-AR" w:bidi="es-AR"/>
        </w:rPr>
        <w:t xml:space="preserve"> Por el contrario la escritura se realizó  a los tres meses casi de la fecha fijada, demora exclusiva por hechos imputables a dos de los vendedores y  la variación del precio de la moneda pactada importó a su parte un empobrecimiento y el enriquecimiento de los demandados y ello resulta un hecho objetivo y da base al agravio para lograr la revocación del fallo.</w:t>
      </w:r>
    </w:p>
    <w:p>
      <w:pPr>
        <w:pStyle w:val="[Normal]"/>
        <w:spacing w:line="360" w:lineRule="auto"/>
        <w:ind w:firstLine="1134"/>
        <w:jc w:val="both"/>
        <w:rPr>
          <w:lang w:val="es-AR" w:eastAsia="es-AR" w:bidi="es-AR"/>
        </w:rPr>
      </w:pPr>
      <w:r>
        <w:rPr>
          <w:b/>
          <w:lang w:val="es-AR" w:eastAsia="es-AR" w:bidi="es-AR"/>
        </w:rPr>
        <w:t xml:space="preserve">a ) De la mora en los contratos:</w:t>
      </w:r>
    </w:p>
    <w:p>
      <w:pPr>
        <w:pStyle w:val="[Normal]"/>
        <w:spacing w:line="360" w:lineRule="auto"/>
        <w:ind w:firstLine="1134"/>
        <w:jc w:val="both"/>
        <w:rPr>
          <w:lang w:val="es-AR" w:eastAsia="es-AR" w:bidi="es-AR"/>
        </w:rPr>
      </w:pPr>
      <w:r>
        <w:rPr>
          <w:lang w:val="es-AR" w:eastAsia="es-AR" w:bidi="es-AR"/>
        </w:rPr>
        <w:t xml:space="preserve">No hay disputa en relación a que las partes se vincularon en fecha  9 de abril de 2012 mediante la celebración de un boleto de compra venta, de cuyas condiciones da cuenta el instrumento glosado a fs. 40, por el cual el actor de autos adquirió la propiedad sita en la calle Lagos entre Rivadavia  y  J.M. Estrada, en la suma de U$S 70.000, abonados la mitad a la firma del convenio (U$S 35.000) y el saldo por el mismo monto a la firma de la escritura. Ésta, se firmaría a los treinta días (30) posteriores a la entrega por parte de los vendedores de los procesos sucesorios (que denuncian) en condiciones de escriturar por tracto abreviado (ver cláusula 4ta.).</w:t>
      </w:r>
    </w:p>
    <w:p>
      <w:pPr>
        <w:pStyle w:val="[Normal]"/>
        <w:spacing w:line="360" w:lineRule="auto"/>
        <w:ind w:firstLine="1134"/>
        <w:jc w:val="both"/>
        <w:rPr>
          <w:lang w:val="es-AR" w:eastAsia="es-AR" w:bidi="es-AR"/>
        </w:rPr>
      </w:pPr>
      <w:r>
        <w:rPr>
          <w:lang w:val="es-AR" w:eastAsia="es-AR" w:bidi="es-AR"/>
        </w:rPr>
        <w:t xml:space="preserve">Se pactó como condición esencial que el pago se haría en efectivo en dólares estadounidenses billetes, o en el caso la cantidad de moneda de curso legal para adquirir dólares en la plaza de Nueva York, Zurich o Montevideo. (cláusula 8va.). La escritura se firmó finalmente en fecha 18 / 02 / 2013 ( ver fs. 41 / 48 ).</w:t>
      </w:r>
    </w:p>
    <w:p>
      <w:pPr>
        <w:pStyle w:val="[Normal]"/>
        <w:spacing w:line="360" w:lineRule="auto"/>
        <w:ind w:firstLine="1134"/>
        <w:jc w:val="both"/>
        <w:rPr>
          <w:lang w:val="es-AR" w:eastAsia="es-AR" w:bidi="es-AR"/>
        </w:rPr>
      </w:pPr>
      <w:r>
        <w:rPr>
          <w:lang w:val="es-AR" w:eastAsia="es-AR" w:bidi="es-AR"/>
        </w:rPr>
        <w:t xml:space="preserve">Así primeramente cabe decir que la relación que vinculó a las partes era regida por el Código Civil Velezano, y desde esta base legal es sabido que los contratos nacen para ser cumplidos, se celebran, interpretan, ejecutan de buena fe y sus cláusulas son ley para las partes contratante (arts. 1037, 1197 1198 C.C.).</w:t>
      </w:r>
    </w:p>
    <w:p>
      <w:pPr>
        <w:pStyle w:val="[Normal]"/>
        <w:spacing w:line="360" w:lineRule="auto"/>
        <w:ind w:firstLine="1134"/>
        <w:jc w:val="both"/>
        <w:rPr>
          <w:lang w:val="es-AR" w:eastAsia="es-AR" w:bidi="es-AR"/>
        </w:rPr>
      </w:pPr>
      <w:r>
        <w:rPr>
          <w:lang w:val="es-AR" w:eastAsia="es-AR" w:bidi="es-AR"/>
        </w:rPr>
        <w:t xml:space="preserve"> La obligación de escriturar surge de lo prescripto por el Art. 1185 del C.C., cuando las partes han dado forma de instrumento privado a contratos en los que se exige la escritura pública.  Se trata de una obligación de hacer que requiere la colaboración de ambas partes y la participación de un escribano.</w:t>
      </w:r>
    </w:p>
    <w:p>
      <w:pPr>
        <w:pStyle w:val="[Normal]"/>
        <w:spacing w:line="360" w:lineRule="auto"/>
        <w:ind w:firstLine="1134"/>
        <w:jc w:val="both"/>
        <w:rPr>
          <w:lang w:val="es-AR" w:eastAsia="es-AR" w:bidi="es-AR"/>
        </w:rPr>
      </w:pPr>
      <w:r>
        <w:rPr>
          <w:lang w:val="es-AR" w:eastAsia="es-AR" w:bidi="es-AR"/>
        </w:rPr>
        <w:t xml:space="preserve"> Ambas partes son deudoras de la obligación de concurrir en tiempo propio a suscribir la escritura pública, por tratarse de obligaciones recíprocas. En muchos casos, la preparación del documento por el notario, exige previamente la colaboración de las partes que tienen que suministrarle todos los elementos necesarios para que lo confeccione.  Si alguna de ellas  no cumpliese con sus deberes de colaboración y entorpeciere el acto, provocando una demora al no entregar al escribano los  elementos necesarios, su actitud la haría pasible de caer en la situación jurídica de mora. Esta mora podría producirse de manera automática si las partes hubieses determinado plazo para la escrituración y ese plazo venciese.  Si no hubiese plazo determinado para ello, deberá recurrirse al juez solicitando su fijación.</w:t>
      </w:r>
    </w:p>
    <w:p>
      <w:pPr>
        <w:pStyle w:val="[Normal]"/>
        <w:spacing w:line="360" w:lineRule="auto"/>
        <w:ind w:firstLine="1134"/>
        <w:jc w:val="both"/>
        <w:rPr>
          <w:lang w:val="es-AR" w:eastAsia="es-AR" w:bidi="es-AR"/>
        </w:rPr>
      </w:pPr>
      <w:r>
        <w:rPr>
          <w:lang w:val="es-AR" w:eastAsia="es-AR" w:bidi="es-AR"/>
        </w:rPr>
        <w:t xml:space="preserve">  Desde este piso de marcha, se advierte fácilmente que las partes contratantes asumieron </w:t>
      </w:r>
      <w:r>
        <w:rPr>
          <w:i/>
          <w:u w:val="single"/>
          <w:lang w:val="es-AR" w:eastAsia="es-AR" w:bidi="es-AR"/>
        </w:rPr>
        <w:t xml:space="preserve">obligaciones de hacer</w:t>
      </w:r>
      <w:r>
        <w:rPr>
          <w:lang w:val="es-AR" w:eastAsia="es-AR" w:bidi="es-AR"/>
        </w:rPr>
        <w:t xml:space="preserve"> y el caso es que no se fijó una fecha determinada para el acto escriturario, sino se pactó que se firmaría a los treinta días de hallarse en condiciones los procesos sucesorios que se denuncian en el boleto.</w:t>
      </w:r>
    </w:p>
    <w:p>
      <w:pPr>
        <w:pStyle w:val="[Normal]"/>
        <w:spacing w:line="360" w:lineRule="auto"/>
        <w:ind w:firstLine="1134"/>
        <w:jc w:val="both"/>
        <w:rPr>
          <w:lang w:val="es-AR" w:eastAsia="es-AR" w:bidi="es-AR"/>
        </w:rPr>
      </w:pPr>
      <w:r>
        <w:rPr>
          <w:lang w:val="es-AR" w:eastAsia="es-AR" w:bidi="es-AR"/>
        </w:rPr>
        <w:t xml:space="preserve">No hay prueba alguna que acredite la citación por parte de la Notaria designada, para que el día 12 / 11 / 2012 se presenten a escriturar las partes como tampoco que el actor haya concurrido en esa fecha a la escribanía ni que demuestre, no solo su concurrencia sino que además lo hubiere hecho munido del saldo de precio de la operación. Las obligaciones pesan sobre ambas partes contrayentes.</w:t>
      </w:r>
    </w:p>
    <w:p>
      <w:pPr>
        <w:pStyle w:val="[Normal]"/>
        <w:spacing w:line="360" w:lineRule="auto"/>
        <w:ind w:firstLine="1134"/>
        <w:jc w:val="both"/>
        <w:rPr>
          <w:lang w:val="es-AR" w:eastAsia="es-AR" w:bidi="es-AR"/>
        </w:rPr>
      </w:pPr>
      <w:r>
        <w:rPr>
          <w:lang w:val="es-AR" w:eastAsia="es-AR" w:bidi="es-AR"/>
        </w:rPr>
        <w:t xml:space="preserve">Del  testimonio glosado a la causa prestado por  María C. Leiva y María C. Sacoski (Escribanía acordada en el boleto) solamente se extrae que sí hubo que levantar dos inhibiciones generales de bienes de dos de los vendedores para poder escriturar (fs. 496). Por su parte, la testigo María Cecilia Sacoski, afirma que la fecha programada para la realización de la escritura debió postergarse por hallarse dos vendedores inhibidos (fs. 497), empero no alcanza para determinar lo antes dicho, tanto en relación a la fecha exacta, prueba de la citación, como la concurrencia al acto por parte del actor.</w:t>
      </w:r>
    </w:p>
    <w:p>
      <w:pPr>
        <w:pStyle w:val="[Normal]"/>
        <w:spacing w:line="360" w:lineRule="auto"/>
        <w:ind w:firstLine="1134"/>
        <w:jc w:val="both"/>
        <w:rPr>
          <w:lang w:val="es-AR" w:eastAsia="es-AR" w:bidi="es-AR"/>
        </w:rPr>
      </w:pPr>
      <w:r>
        <w:rPr>
          <w:lang w:val="es-AR" w:eastAsia="es-AR" w:bidi="es-AR"/>
        </w:rPr>
        <w:t xml:space="preserve">Siguiendo con esta línea argumental y cronológica, más allá del desconocimiento de la carta documento, cuya recepción de fs. 49 se cuestiona, lo concreto es que aún en el caso afirmativo de su recepción</w:t>
      </w:r>
      <w:r>
        <w:rPr>
          <w:b/>
          <w:lang w:val="es-AR" w:eastAsia="es-AR" w:bidi="es-AR"/>
        </w:rPr>
        <w:t xml:space="preserve"> </w:t>
      </w:r>
      <w:r>
        <w:rPr>
          <w:lang w:val="es-AR" w:eastAsia="es-AR" w:bidi="es-AR"/>
        </w:rPr>
        <w:t xml:space="preserve">no puede ella erigirse como base del presente reclamo a partir de la fijación de una fecha de cumplimiento de la obligación y de allí tomar como punto de partida la fecha para constituir en mora  a los vendedores como se pretende.</w:t>
      </w:r>
    </w:p>
    <w:p>
      <w:pPr>
        <w:pStyle w:val="[Normal]"/>
        <w:spacing w:line="360" w:lineRule="auto"/>
        <w:ind w:firstLine="1134"/>
        <w:jc w:val="both"/>
        <w:rPr>
          <w:lang w:val="es-AR" w:eastAsia="es-AR" w:bidi="es-AR"/>
        </w:rPr>
      </w:pPr>
      <w:r>
        <w:rPr>
          <w:lang w:val="es-AR" w:eastAsia="es-AR" w:bidi="es-AR"/>
        </w:rPr>
        <w:t xml:space="preserve">Es que "... Si llegada la fecha de escrituración el acto no pudiese celebrarse por causas extrañas a las partes que prestaron toda la colaboración previa necesaria, no podría considerarse morosa a ninguna de ellas (Art. 509 del C. C. in fine), ya sea que el retraso se produzca por negligencia del escribano o se deba a demoras de tipo registral, administrativo, etc.  Si los obstáculos fuesen superables, cualquiera de las partes podría instar la ejecución del acto y una vez salvadas las dificultades, reclamar al escribano la inmediata fijación de fecha para la escrituración. Si por el contrario, no se los pudiere superar, se estaría frente a una causal de extinción de la obligación por imposibilidad de cumplimiento..." (cfr. Notas sobre la obligación de escriturar, por Luis Moisset de Espanés (en colaboración con Carlos Gustavo Vallespinos, Comercio y Justicia, Semanario Jurídico, Nº 7, 22/8/77.)</w:t>
      </w:r>
    </w:p>
    <w:p>
      <w:pPr>
        <w:pStyle w:val="[Normal]"/>
        <w:spacing w:line="360" w:lineRule="auto"/>
        <w:ind w:firstLine="1134"/>
        <w:jc w:val="both"/>
        <w:rPr>
          <w:lang w:val="es-AR" w:eastAsia="es-AR" w:bidi="es-AR"/>
        </w:rPr>
      </w:pPr>
      <w:r>
        <w:rPr>
          <w:lang w:val="es-AR" w:eastAsia="es-AR" w:bidi="es-AR"/>
        </w:rPr>
        <w:t xml:space="preserve">Y, ello no aconteció en la especie por cuanto  frente a la aparición del obstáculo (necesidad de levantamiento de las inhibiciones generales de bienes ) de naturaleza salvable -tal como luego se hizo-, la parte de modo unilateral intima directamente a cumplir  con la escrituración en el término de quince días. Tal actuación no se compadece con los principios arriba enunciados  que deben  reinar entre las partes contratantes, toda vez que el plazo </w:t>
      </w:r>
      <w:r>
        <w:rPr>
          <w:i/>
          <w:u w:val="single"/>
          <w:lang w:val="es-AR" w:eastAsia="es-AR" w:bidi="es-AR"/>
        </w:rPr>
        <w:t xml:space="preserve">unilateralmente</w:t>
      </w:r>
      <w:r>
        <w:rPr>
          <w:lang w:val="es-AR" w:eastAsia="es-AR" w:bidi="es-AR"/>
        </w:rPr>
        <w:t xml:space="preserve"> impuesto es de cumplimiento imposible y ello, es innegable.</w:t>
      </w:r>
    </w:p>
    <w:p>
      <w:pPr>
        <w:pStyle w:val="[Normal]"/>
        <w:spacing w:line="360" w:lineRule="auto"/>
        <w:ind w:firstLine="1134"/>
        <w:jc w:val="both"/>
        <w:rPr>
          <w:lang w:val="es-AR" w:eastAsia="es-AR" w:bidi="es-AR"/>
        </w:rPr>
      </w:pPr>
      <w:r>
        <w:rPr>
          <w:lang w:val="es-AR" w:eastAsia="es-AR" w:bidi="es-AR"/>
        </w:rPr>
        <w:t xml:space="preserve">En efecto, la misiva de intimación data del día 4 / 12 /  2012 y sabido es que  para poder levantar una medida cautelar se requiere en el expediente judicial respectivo una serie de actos procesales ( liquidación definitiva, traslado de ella, firmeza para luego si  regular  honorarios profesionales, notificación de tal interlocutorio, firmeza de la resolución, pago de los mismos, como cumplimiento de pagos de aportes previsionales), aquél plazo unilateralmente impuesto era  de cumplimiento imposible. </w:t>
      </w:r>
    </w:p>
    <w:p>
      <w:pPr>
        <w:pStyle w:val="[Normal]"/>
        <w:spacing w:line="360" w:lineRule="auto"/>
        <w:ind w:firstLine="1134"/>
        <w:jc w:val="both"/>
        <w:rPr>
          <w:lang w:val="es-AR" w:eastAsia="es-AR" w:bidi="es-AR"/>
        </w:rPr>
      </w:pPr>
      <w:r>
        <w:rPr>
          <w:b/>
          <w:lang w:val="es-AR" w:eastAsia="es-AR" w:bidi="es-AR"/>
        </w:rPr>
        <w:t xml:space="preserve">Y es dable notar</w:t>
      </w:r>
      <w:r>
        <w:rPr>
          <w:lang w:val="es-AR" w:eastAsia="es-AR" w:bidi="es-AR"/>
        </w:rPr>
        <w:t xml:space="preserve">, que desde la fecha de la intimación por carta documento ( 4 / 12 / 2012 ), hasta la fecha de la escrituración 18 / 02 / 2013, teniendo en cuenta las dificultades antes dichas la parte vendedora ha sido extremadamente diligente por lo que el excesivo celo expuesto por la parte actora no es un argumento que de base para una pretensión de condena.</w:t>
      </w:r>
    </w:p>
    <w:p>
      <w:pPr>
        <w:pStyle w:val="[Normal]"/>
        <w:spacing w:line="360" w:lineRule="auto"/>
        <w:ind w:firstLine="1134"/>
        <w:jc w:val="both"/>
        <w:rPr>
          <w:lang w:val="es-AR" w:eastAsia="es-AR" w:bidi="es-AR"/>
        </w:rPr>
      </w:pPr>
      <w:r>
        <w:rPr>
          <w:lang w:val="es-AR" w:eastAsia="es-AR" w:bidi="es-AR"/>
        </w:rPr>
        <w:t xml:space="preserve">Así para finalizar en este aspecto se observa que, la primera citación para escriturar, de la que como se dijera no hay prueba incontrovertible (art. 375 CPC.), aún en el caso la parte tampoco acreditó  su concurrencia al acto como tampoco que se hallaba en condiciones él para poder escriturar y así en el caso los incumplimientos recíprocos se anulan. (art. 510 C.C.).</w:t>
      </w:r>
    </w:p>
    <w:p>
      <w:pPr>
        <w:pStyle w:val="[Normal]"/>
        <w:spacing w:line="360" w:lineRule="auto"/>
        <w:ind w:firstLine="1134"/>
        <w:jc w:val="both"/>
        <w:rPr>
          <w:lang w:val="es-AR" w:eastAsia="es-AR" w:bidi="es-AR"/>
        </w:rPr>
      </w:pPr>
      <w:r>
        <w:rPr>
          <w:lang w:val="es-AR" w:eastAsia="es-AR" w:bidi="es-AR"/>
        </w:rPr>
        <w:t xml:space="preserve">Y, entonces frente a una obligación sin plazo, se imponía resolverlo de común acuerdo o que lo fije el juez (art. 509 C.C.) y no de modo unilateral, que además resultaba de cumplimiento imposible.</w:t>
      </w:r>
    </w:p>
    <w:p>
      <w:pPr>
        <w:pStyle w:val="[Normal]"/>
        <w:spacing w:line="360" w:lineRule="auto"/>
        <w:ind w:firstLine="1134"/>
        <w:jc w:val="both"/>
        <w:rPr>
          <w:lang w:val="es-AR" w:eastAsia="es-AR" w:bidi="es-AR"/>
        </w:rPr>
      </w:pPr>
      <w:r>
        <w:rPr>
          <w:lang w:val="es-AR" w:eastAsia="es-AR" w:bidi="es-AR"/>
        </w:rPr>
        <w:t xml:space="preserve">Entonces para finalizar este punto de la mora dentro del ámbito de los contratos en general, alcanza para desestimar el argumento sostenido en demanda que se enarbola como fuente de derecho.</w:t>
      </w:r>
    </w:p>
    <w:p>
      <w:pPr>
        <w:pStyle w:val="[Normal]"/>
        <w:spacing w:line="360" w:lineRule="auto"/>
        <w:ind w:firstLine="1134"/>
        <w:jc w:val="both"/>
        <w:rPr>
          <w:lang w:val="es-AR" w:eastAsia="es-AR" w:bidi="es-AR"/>
        </w:rPr>
      </w:pPr>
      <w:r>
        <w:rPr>
          <w:b/>
          <w:lang w:val="es-AR" w:eastAsia="es-AR" w:bidi="es-AR"/>
        </w:rPr>
        <w:t xml:space="preserve">b ) De la  mora en la obligación de escriturar:</w:t>
      </w:r>
    </w:p>
    <w:p>
      <w:pPr>
        <w:pStyle w:val="[Normal]"/>
        <w:spacing w:line="360" w:lineRule="auto"/>
        <w:ind w:firstLine="1134"/>
        <w:jc w:val="both"/>
        <w:rPr>
          <w:lang w:val="es-AR" w:eastAsia="es-AR" w:bidi="es-AR"/>
        </w:rPr>
      </w:pPr>
      <w:r>
        <w:rPr>
          <w:lang w:val="es-AR" w:eastAsia="es-AR" w:bidi="es-AR"/>
        </w:rPr>
        <w:t xml:space="preserve">Pero como veremos seguidamente, la jurisprudencia ha restringido aún más la aplicación de la mora automática en los casos que aún las partes hayan establecido una fecha.</w:t>
      </w:r>
    </w:p>
    <w:p>
      <w:pPr>
        <w:pStyle w:val="[Normal]"/>
        <w:spacing w:line="360" w:lineRule="auto"/>
        <w:ind w:firstLine="1134"/>
        <w:jc w:val="both"/>
        <w:rPr>
          <w:lang w:val="es-AR" w:eastAsia="es-AR" w:bidi="es-AR"/>
        </w:rPr>
      </w:pPr>
      <w:r>
        <w:rPr>
          <w:lang w:val="es-AR" w:eastAsia="es-AR" w:bidi="es-AR"/>
        </w:rPr>
        <w:t xml:space="preserve"> "... </w:t>
      </w:r>
      <w:r>
        <w:rPr>
          <w:i/>
          <w:lang w:val="es-AR" w:eastAsia="es-AR" w:bidi="es-AR"/>
        </w:rPr>
        <w:t xml:space="preserve">En materia de mora en la obligación de escriturar ella no se produce de pleno derecho, sino que, como lo ha entendido reiteradamente la jurisprudencia, su régimen en este tipo obligaciones, por las particularidades que presenta, se encuentra alterado, no siendo de aplicación, sin más, el primer apartado del art. 509 del Cód. Civil</w:t>
      </w:r>
      <w:r>
        <w:rPr>
          <w:lang w:val="es-AR" w:eastAsia="es-AR" w:bidi="es-AR"/>
        </w:rPr>
        <w:t xml:space="preserve"> (conf. CNCiv. Sala "A" en E.D. 86-284; Sala "B" en L.L. 1977- C-279; Sala "C" en E.D. 81-202; íd., en E.D. 87-300; íd., en E.D. 112-590; Sala "D" en E.D. 88-789; íd., en E.D. 102-703; Sala "F" en E.D. 81-541; íd., en L.L. 1978-C- 380; íd., en L.L. 1979-D-405; íd., en E.D. 130-348; esta Sala, en E.D. 71250; íd., en E.D. 96-292; votos del Dr. Calatayud en causas 134.921 del 249-93 y 404.206 del 2-8-05). Se trata -como bien señaló el Dr. Cifuentes en su voto en la Sala C en la causa "Industrec, S. A. c. Slinin, Elías, suc." del 27-2-79- de considerar a la obligación de escriturar como una situación compleja, la cual impone dosificar la aplicación de la mora automática tratada en el art. 509 del Cód. Civil, incluso cuando hay plazo cierto. Es así que el simple transcurso del tiempo no produjo la mora, ya que no puede haber incumplimiento si el notario no señaló día y hora para la celebración del acto (CNCiv., Sala F, del 27-10-87, LL 1989-A, 513) tanto más cuando la conducta de ambas partes impidió -de un modo u otro- que ese cometido pudiera llevarse a cabo. La necesaria intervención del escribano en la obligación de escriturar no supone solamente que existan esos deberes de colaboración mutua entre las partes con el agregado de los denominados deberes o cargas de secundarios de conducta. Implica, por otra parte, que el comportamiento futuro de las partes después de la firma del boleto de compraventa se halla restringido en tanto manifestaciones unilaterales carecen del efecto pretendido en la ejecución de este tipo de obligación. Y es en este orden de ideas que reviste gran trascendencia el examen de los hechos anteriores y posteriores al boleto, que tienen relación con lo que se discute (Morello, "El boleto de compraventa inmobiliaria", 4a ed., La Plata, 2008, pág. 127 y nota 174). Desde esta perspectiva, como señalé en mi voto en la c. 560.108 del 2-3-2011, las partes deben procurar el mantenimiento de una corriente de información fluida, una tendencia -basada en el ya citado principio de buena fe- de obviar y superar los obstáculos que puedan impedir la comunicación, suministrar los elementos necesarios al escribano y hacer el seguimiento del proceso de confección de la escritura instando, dentro de lo posible, la realización de las comunicaciones necesarias ( Mosset Iturraspe - Novellino, "La obligación de escriturar", Buenos Aires, 1994, pág. 98 )..." (B., M. C. C. Max S.A. s/ Escrituración sentencia del 17 de Noviembre de 2014 Cámara  Nacional de Apelaciones en lo  Civil  Capital  Federal Sala E., en  Id SAIJ: FA14020035).</w:t>
      </w:r>
    </w:p>
    <w:p>
      <w:pPr>
        <w:pStyle w:val="[Normal]"/>
        <w:spacing w:line="360" w:lineRule="auto"/>
        <w:ind w:firstLine="1134"/>
        <w:jc w:val="both"/>
        <w:rPr>
          <w:lang w:val="es-AR" w:eastAsia="es-AR" w:bidi="es-AR"/>
        </w:rPr>
      </w:pPr>
      <w:r>
        <w:rPr>
          <w:b/>
          <w:lang w:val="es-AR" w:eastAsia="es-AR" w:bidi="es-AR"/>
        </w:rPr>
        <w:t xml:space="preserve">En síntesis</w:t>
      </w:r>
      <w:r>
        <w:rPr>
          <w:lang w:val="es-AR" w:eastAsia="es-AR" w:bidi="es-AR"/>
        </w:rPr>
        <w:t xml:space="preserve">, de lo hasta aquí reseñado respecto de la actuación de las partes, tanto de la mora vista desde los contratos en general como en particular en relación a este tipo de obligación de hacer de los contratantes, es el escribano quien debe fijar la fecha y notificar a los contratantes del día de la firma del instrumento por lo que se concluye dócilmente que la mora del vendedor como base del reclamo no se ajusta a derecho ( arts. 509, 510, 1185, 1198 del C.C.). </w:t>
      </w:r>
    </w:p>
    <w:p>
      <w:pPr>
        <w:pStyle w:val="[Normal]"/>
        <w:spacing w:line="360" w:lineRule="auto"/>
        <w:ind w:firstLine="1134"/>
        <w:jc w:val="both"/>
        <w:rPr>
          <w:lang w:val="es-AR" w:eastAsia="es-AR" w:bidi="es-AR"/>
        </w:rPr>
      </w:pPr>
      <w:r>
        <w:rPr>
          <w:b/>
          <w:lang w:val="es-AR" w:eastAsia="es-AR" w:bidi="es-AR"/>
        </w:rPr>
        <w:t xml:space="preserve">c ) Enriquecimiento sin causa: </w:t>
      </w:r>
    </w:p>
    <w:p>
      <w:pPr>
        <w:pStyle w:val="[Normal]"/>
        <w:spacing w:line="360" w:lineRule="auto"/>
        <w:ind w:firstLine="1134"/>
        <w:jc w:val="both"/>
        <w:rPr>
          <w:lang w:val="es-AR" w:eastAsia="es-AR" w:bidi="es-AR"/>
        </w:rPr>
      </w:pPr>
      <w:r>
        <w:rPr>
          <w:lang w:val="es-AR" w:eastAsia="es-AR" w:bidi="es-AR"/>
        </w:rPr>
        <w:t xml:space="preserve">El Código Velezano, no tenía - como acontece ahora - un artículo específico sino que la cuestión se halla en distintas disposiciones del Digesto ( nota al art. 43, arts. 784 y ss. art. 907 entre otros ) y la jurisprudencia y doctrina fueron dando forma al art. 1794 C.C.C., sin perjuicio de lo cual se hallaba incorporado en el Ordenamiento Jurídico y considerado  por algunos como fuente autónoma de obligaciones (L.L. 1980 - b- 647, L.L. 1978 - b- 371, L.L. 1978 - A-, 291 ).</w:t>
      </w:r>
    </w:p>
    <w:p>
      <w:pPr>
        <w:pStyle w:val="[Normal]"/>
        <w:spacing w:line="360" w:lineRule="auto"/>
        <w:ind w:firstLine="1134"/>
        <w:jc w:val="both"/>
        <w:rPr>
          <w:lang w:val="es-AR" w:eastAsia="es-AR" w:bidi="es-AR"/>
        </w:rPr>
      </w:pPr>
      <w:r>
        <w:rPr>
          <w:lang w:val="es-AR" w:eastAsia="es-AR" w:bidi="es-AR"/>
        </w:rPr>
        <w:t xml:space="preserve">El principio jurídico que prohíbe enriquecerse a costa de otra persona si no existe una causa legítima que lo justifique, constituye una herramienta aplicable en prácticamente todos los ámbitos del derecho y la acción que se otorga a quien sufre un empobrecimiento incausado, tiene por finalidad restituir el equilibrio patrimonial alterado.</w:t>
      </w:r>
    </w:p>
    <w:p>
      <w:pPr>
        <w:pStyle w:val="[Normal]"/>
        <w:spacing w:line="360" w:lineRule="auto"/>
        <w:ind w:firstLine="1134"/>
        <w:jc w:val="both"/>
        <w:rPr>
          <w:lang w:val="es-AR" w:eastAsia="es-AR" w:bidi="es-AR"/>
        </w:rPr>
      </w:pPr>
      <w:r>
        <w:rPr>
          <w:lang w:val="es-AR" w:eastAsia="es-AR" w:bidi="es-AR"/>
        </w:rPr>
        <w:t xml:space="preserve">"...Los presupuestos para que se configure la acción por enriquecimiento sin causa, hemos de destacar cuatro:  a) El enriquecimiento de una parte; ese sujeto será luego el deudor de la obligación que nace de esta fuente.  b) El empobrecimiento de otro sujeto, que será el acreedor de la obligación, y podrá demandar que se restablezcan los patrimonios al estado anterior, ejerciendo la acción que, con cierta impropiedad, suele denominarse de “restitución” o de “reembolso”. c) Debe existir una vinculación entre el enriquecimiento y el empobrecimiento, que tienen que ser correlativos. León expresaba con justeza que el empobrecimiento está condicionado por el enriquecimiento, y viceversa: el enriquecimiento del demandado está   condicionado por el empobrecimiento del actor.  d) Por último, el enriquecimiento debe carecer de justificación legítima, expresión que nos parece preferible a la vaga y genérica de la falta de causa..." (Academia Nacional de Derecho y Ciencias Sociales de Córdoba (República Argentina) http://www.acader.unc.edu.ar ).</w:t>
      </w:r>
    </w:p>
    <w:p>
      <w:pPr>
        <w:pStyle w:val="[Normal]"/>
        <w:spacing w:line="360" w:lineRule="auto"/>
        <w:ind w:firstLine="1134"/>
        <w:jc w:val="both"/>
        <w:rPr>
          <w:lang w:val="es-AR" w:eastAsia="es-AR" w:bidi="es-AR"/>
        </w:rPr>
      </w:pPr>
      <w:r>
        <w:rPr>
          <w:lang w:val="es-AR" w:eastAsia="es-AR" w:bidi="es-AR"/>
        </w:rPr>
        <w:t xml:space="preserve">A ello, ha de adunarse la inexistencia de toda otra acción por la cual se pueda obtener una reparación del perjuicio, por cuanto funciona de modo subsidiario (ver en tal sentido:  Pedro N. Cazeaux - Felix A. Trigo Represas: "Derecho de las Obligaciones" T. IV. p. 356).</w:t>
      </w:r>
    </w:p>
    <w:p>
      <w:pPr>
        <w:pStyle w:val="[Normal]"/>
        <w:spacing w:line="360" w:lineRule="auto"/>
        <w:ind w:firstLine="1134"/>
        <w:jc w:val="both"/>
        <w:rPr>
          <w:lang w:val="es-AR" w:eastAsia="es-AR" w:bidi="es-AR"/>
        </w:rPr>
      </w:pPr>
      <w:r>
        <w:rPr>
          <w:lang w:val="es-AR" w:eastAsia="es-AR" w:bidi="es-AR"/>
        </w:rPr>
        <w:t xml:space="preserve">Y, " ...todos los requisitos anteriormente enumerados deben concurrir necesariamente para el andamiento de la acción de enriquecimiento sin causa. Es decir, que si faltara alguno de ellos, la acción intentada carecería de procedencia. Por encima de slogans o cartabones abstractos, el juez debe analizar las particularidades del caso y analizar en conjunto el cumplimiento de estos requisitos. Todos ellos deben concurrir en el caso para que se torne aplicable esta herramienta excepcional, pero no cabe extremar la exigencia de cada uno por separado, para lograr el notable efecto de disolver de a uno los presupuestos, de modo de convertir –a través de una apreciación cáustica de ellos- en un milagro la procedencia de la acción ( Cám. Ap. Trelew, Sala A, 27/5/09, “Monteros  Mónica Beatriz c/ Liberty ART S.A. s/ Accidente de Trabajo, publicado en http://eureka.juschubut.gov.ar/ResultTextComp.aspx, voto del Dr. López Mesa).</w:t>
      </w:r>
    </w:p>
    <w:p>
      <w:pPr>
        <w:pStyle w:val="[Normal]"/>
        <w:spacing w:line="360" w:lineRule="auto"/>
        <w:ind w:firstLine="1134"/>
        <w:jc w:val="both"/>
        <w:rPr>
          <w:lang w:val="es-AR" w:eastAsia="es-AR" w:bidi="es-AR"/>
        </w:rPr>
      </w:pPr>
      <w:r>
        <w:rPr>
          <w:lang w:val="es-AR" w:eastAsia="es-AR" w:bidi="es-AR"/>
        </w:rPr>
        <w:t xml:space="preserve">Lo aquí expuesto controvierte el presupuesto de hecho en que se sustenta la pretensión actoral, el enriquecimiento de los demandados y el empobrecimiento del actor como consecuencia del hecho objetivo de la variación del precio de la moneda extranjera sin causa legítima.</w:t>
      </w:r>
    </w:p>
    <w:p>
      <w:pPr>
        <w:pStyle w:val="[Normal]"/>
        <w:spacing w:line="360" w:lineRule="auto"/>
        <w:ind w:firstLine="1134"/>
        <w:jc w:val="both"/>
        <w:rPr>
          <w:lang w:val="es-AR" w:eastAsia="es-AR" w:bidi="es-AR"/>
        </w:rPr>
      </w:pPr>
      <w:r>
        <w:rPr>
          <w:lang w:val="es-AR" w:eastAsia="es-AR" w:bidi="es-AR"/>
        </w:rPr>
        <w:t xml:space="preserve">Así se lo expresa en el agravio "... </w:t>
      </w:r>
      <w:r>
        <w:rPr>
          <w:i/>
          <w:lang w:val="es-AR" w:eastAsia="es-AR" w:bidi="es-AR"/>
        </w:rPr>
        <w:t xml:space="preserve">al hecho indiscutido del aumento del precio del dólar estadounidense con posterioridad al momento en que debía escriturarse -acreditado en autos por el dictamen pericial -, es una circunstancia puramente objetiva que cuando finalmente se escrituró, el actor entregó en pago del saldo de precio una prestación incrementada en un 20,84 % que benefició y enriqueció a los compradores sin causa.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ello la mera circunstancia de un cambio de la situación de hecho, por sí sola no alcanza para el inicio de esta acción de naturaleza excepcional, sino que por el contrario cada uno de los elementos que la figura requiere para ser recibida, debe ser acreditado de modo fehaciente.</w:t>
      </w:r>
    </w:p>
    <w:p>
      <w:pPr>
        <w:pStyle w:val="[Normal]"/>
        <w:spacing w:line="360" w:lineRule="auto"/>
        <w:ind w:firstLine="1134"/>
        <w:jc w:val="both"/>
        <w:rPr>
          <w:lang w:val="es-AR" w:eastAsia="es-AR" w:bidi="es-AR"/>
        </w:rPr>
      </w:pPr>
      <w:r>
        <w:rPr>
          <w:lang w:val="es-AR" w:eastAsia="es-AR" w:bidi="es-AR"/>
        </w:rPr>
        <w:t xml:space="preserve">Así vemos, que el enriquecimiento de los demandados por el solo hecho de la variación del valor de la  moneda no alcanza por cuanto debe acreditarse además en forma correlativa el empobrecimiento del otro y carecer de causa ilegítima.</w:t>
      </w:r>
    </w:p>
    <w:p>
      <w:pPr>
        <w:pStyle w:val="[Normal]"/>
        <w:spacing w:line="360" w:lineRule="auto"/>
        <w:ind w:firstLine="1134"/>
        <w:jc w:val="both"/>
        <w:rPr>
          <w:lang w:val="es-AR" w:eastAsia="es-AR" w:bidi="es-AR"/>
        </w:rPr>
      </w:pPr>
      <w:r>
        <w:rPr>
          <w:lang w:val="es-AR" w:eastAsia="es-AR" w:bidi="es-AR"/>
        </w:rPr>
        <w:t xml:space="preserve">De las constancias de la causa, la diferencia denunciada en favor de los demandados del 20,84 %, no implica por sí el enriquecimiento, y su correlato un empobrecimiento en tanto y en cuanto por ejemplo, no hay prueba de que la propiedad adquirida por el actor no haya también variado en más, su valor en dólares.</w:t>
      </w:r>
    </w:p>
    <w:p>
      <w:pPr>
        <w:pStyle w:val="[Normal]"/>
        <w:spacing w:line="360" w:lineRule="auto"/>
        <w:ind w:firstLine="1134"/>
        <w:jc w:val="both"/>
        <w:rPr>
          <w:lang w:val="es-AR" w:eastAsia="es-AR" w:bidi="es-AR"/>
        </w:rPr>
      </w:pPr>
      <w:r>
        <w:rPr>
          <w:lang w:val="es-AR" w:eastAsia="es-AR" w:bidi="es-AR"/>
        </w:rPr>
        <w:t xml:space="preserve">Por lo demás, "... El empobrecimiento debe ser probado por quien lo alega, pues la invocación del principio de enriquecimiento sin causa, no basta para acoger la pretensión si el accionante no ofreció y produjo prueba del empobrecimiento como condición de existencia de su derecho a repetir..." (El Enriquecimiento sin Causa en el derecho actual. Las posibilidades y los Límites  de un Instituto Controversial,  Marcelo J. López Mesa Localización: Anuario da Facultade de Dereito da Universidad de  Coruña, ISSN 1138-039X, ISSN-e 2530-6324, Nº 13, 2009, págs. 363-398 Dianlet).</w:t>
      </w:r>
    </w:p>
    <w:p>
      <w:pPr>
        <w:pStyle w:val="[Normal]"/>
        <w:spacing w:line="360" w:lineRule="auto"/>
        <w:ind w:firstLine="1134"/>
        <w:jc w:val="both"/>
        <w:rPr>
          <w:lang w:val="es-AR" w:eastAsia="es-AR" w:bidi="es-AR"/>
        </w:rPr>
      </w:pPr>
      <w:r>
        <w:rPr>
          <w:lang w:val="es-AR" w:eastAsia="es-AR" w:bidi="es-AR"/>
        </w:rPr>
        <w:t xml:space="preserve">Asimismo, para que sea procedente la figura invocada del enriquecimiento sin causa, tal como se lee, valga la redundancia "</w:t>
      </w:r>
      <w:r>
        <w:rPr>
          <w:i/>
          <w:lang w:val="es-AR" w:eastAsia="es-AR" w:bidi="es-AR"/>
        </w:rPr>
        <w:t xml:space="preserve">el enriquecimiento</w:t>
      </w:r>
      <w:r>
        <w:rPr>
          <w:lang w:val="es-AR" w:eastAsia="es-AR" w:bidi="es-AR"/>
        </w:rPr>
        <w:t xml:space="preserve">" debe haber acaecido " </w:t>
      </w:r>
      <w:r>
        <w:rPr>
          <w:i/>
          <w:lang w:val="es-AR" w:eastAsia="es-AR" w:bidi="es-AR"/>
        </w:rPr>
        <w:t xml:space="preserve">sin causa</w:t>
      </w:r>
      <w:r>
        <w:rPr>
          <w:lang w:val="es-AR" w:eastAsia="es-AR" w:bidi="es-AR"/>
        </w:rPr>
        <w:t xml:space="preserve"> " y será así "... cuando no medie inter partes una relación contractual, un hecho ilícito y otra fuente de las obligaciones, que legitime el traspaso patrimonial de valores (Pedro N. Cazeaux - Felix A. Trigo Represas: " Op. Cit. " p. 354 y sus citas legales y jurisprudenciales) (el resaltado me pertenece). </w:t>
      </w:r>
    </w:p>
    <w:p>
      <w:pPr>
        <w:pStyle w:val="[Normal]"/>
        <w:spacing w:line="360" w:lineRule="auto"/>
        <w:ind w:firstLine="1134"/>
        <w:jc w:val="both"/>
        <w:rPr>
          <w:lang w:val="es-AR" w:eastAsia="es-AR" w:bidi="es-AR"/>
        </w:rPr>
      </w:pPr>
      <w:r>
        <w:rPr>
          <w:lang w:val="es-AR" w:eastAsia="es-AR" w:bidi="es-AR"/>
        </w:rPr>
        <w:t xml:space="preserve">En nuestro caso, contrariamente, el pago obedece a una causa o fuente de la obligación asumida en el boleto de compra venta y consecuentemente si el pago del saldo no era lo convenido, disponía la parte de otras herramientas procesales.</w:t>
      </w:r>
    </w:p>
    <w:p>
      <w:pPr>
        <w:pStyle w:val="[Normal]"/>
        <w:spacing w:line="360" w:lineRule="auto"/>
        <w:ind w:firstLine="1134"/>
        <w:jc w:val="both"/>
        <w:rPr>
          <w:lang w:val="es-AR" w:eastAsia="es-AR" w:bidi="es-AR"/>
        </w:rPr>
      </w:pPr>
      <w:r>
        <w:rPr>
          <w:lang w:val="es-AR" w:eastAsia="es-AR" w:bidi="es-AR"/>
        </w:rPr>
        <w:t xml:space="preserve">Por todo lo expuesto, es que propongo al acuerdo la confirmación del fallo apelado.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 a la primera cuestión </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Sr. Juez BERNARDO LOUISE dijo:</w:t>
      </w:r>
    </w:p>
    <w:p>
      <w:pPr>
        <w:pStyle w:val="[Normal]"/>
        <w:spacing w:line="360" w:lineRule="auto"/>
        <w:ind w:firstLine="1134"/>
        <w:jc w:val="both"/>
        <w:rPr>
          <w:lang w:val="es-AR" w:eastAsia="es-AR" w:bidi="es-AR"/>
        </w:rPr>
      </w:pPr>
      <w:r>
        <w:rPr>
          <w:lang w:val="es-AR" w:eastAsia="es-AR" w:bidi="es-AR"/>
        </w:rPr>
        <w:t xml:space="preserve">Corresponde el tratamiento de los agravios centrados específicamente en cual de las leyes de Honorarios Profesionales resulta de aplicación al caso, atento que difiere la redacción del art. 23,  en el Decreto ley 8904 y la Ley 14.967.</w:t>
      </w:r>
    </w:p>
    <w:p>
      <w:pPr>
        <w:pStyle w:val="[Normal]"/>
        <w:spacing w:line="360" w:lineRule="auto"/>
        <w:ind w:firstLine="1134"/>
        <w:jc w:val="both"/>
        <w:rPr>
          <w:i/>
          <w:lang w:val="es-AR" w:eastAsia="es-AR" w:bidi="es-AR"/>
        </w:rPr>
      </w:pPr>
      <w:r>
        <w:rPr>
          <w:lang w:val="es-AR" w:eastAsia="es-AR" w:bidi="es-AR"/>
        </w:rPr>
        <w:t xml:space="preserve">El Sr. juez a-quo tal como se expusiera al desestimar la demanda, reguló los honorarios profesionales con base en el art. 23 del Dto. Ley 8904 y al efecto dijo: " ...</w:t>
      </w:r>
      <w:r>
        <w:rPr>
          <w:i/>
          <w:lang w:val="es-AR" w:eastAsia="es-AR" w:bidi="es-AR"/>
        </w:rPr>
        <w:t xml:space="preserve">En razón del análisis realizado y sin perjuicio del momento en el cual se han devengado las tareas profesionales, corresponde regular los honorarios profesionales intervinientes en autos, teniendo en cuenta lo dispuesto por el decreto ley 8904/77 -hoy derogado por la ley 14.967- el cual se encontraba vigente al inicio de la relación contractual entre la parte y su letrado</w:t>
      </w:r>
      <w:r>
        <w:rPr>
          <w:lang w:val="es-AR" w:eastAsia="es-AR" w:bidi="es-AR"/>
        </w:rPr>
        <w:t xml:space="preserve">. </w:t>
      </w:r>
      <w:r>
        <w:rPr>
          <w:i/>
          <w:lang w:val="es-AR" w:eastAsia="es-AR" w:bidi="es-AR"/>
        </w:rPr>
        <w:t xml:space="preserve">Cabe aclarar que lo aquí dispuesto, si bien importa un apartamiento del precedente fijado por la S.C.B.A. en la causa "Morcillo Hugo Hector c/ Provincia de Bs. As. s/ Inconstitucionalidad Decr.-Ley 9020", lo cierto es que el criterio divergente que surge del análisis precedentemente realizado parte del enfoque de la relación contractual -locación de servicio- existente entre la parte y su letrado; y no del análisis sobre las etapas cumplidas y tares devengadas para así determinar la aplicación del decreto ley 8904/77 o del decreto ley 14967/17, como surge del tratamiento dado por el Máximo Tribunal Provincial..."</w:t>
      </w:r>
    </w:p>
    <w:p>
      <w:pPr>
        <w:pStyle w:val="[Normal]"/>
        <w:spacing w:line="360" w:lineRule="auto"/>
        <w:ind w:firstLine="1134"/>
        <w:jc w:val="both"/>
        <w:rPr>
          <w:lang w:val="es-AR" w:eastAsia="es-AR" w:bidi="es-AR"/>
        </w:rPr>
      </w:pPr>
      <w:r>
        <w:rPr>
          <w:lang w:val="es-AR" w:eastAsia="es-AR" w:bidi="es-AR"/>
        </w:rPr>
        <w:t xml:space="preserve">Aduna a ello que las leyes se consideran conocidas por todos (art. 20 del C.C. y 8 del C.C.C.N.) y "...  </w:t>
      </w:r>
      <w:r>
        <w:rPr>
          <w:i/>
          <w:lang w:val="es-AR" w:eastAsia="es-AR" w:bidi="es-AR"/>
        </w:rPr>
        <w:t xml:space="preserve">que, los honorarios profesionales de abogados devengados en juicio, deben considerarse como remuneraciones al trabajo personal del profesional -derivadas de un contrato de locación de servicio- y en defecto de contrato escrito deben ser fijados en la forma que determina la ley </w:t>
      </w:r>
      <w:r>
        <w:rPr>
          <w:lang w:val="es-AR" w:eastAsia="es-AR" w:bidi="es-AR"/>
        </w:rPr>
        <w:t xml:space="preserve">(art. 1 y 2 de la ley 8904, art. 1627 del C.C. y su doctrina, 7 del C.C.C.N. y 1 dec. 522/17). Agrega también lo dispuesto por el art. 962 C.C.C. QUE  establece que:  ".</w:t>
      </w:r>
      <w:r>
        <w:rPr>
          <w:i/>
          <w:lang w:val="es-AR" w:eastAsia="es-AR" w:bidi="es-AR"/>
        </w:rPr>
        <w:t xml:space="preserve">.. Las normas legales relativas a los contratos son supletorias de la voluntad de las partes, a menos que de su modo de expresión, de su contenido, o de su contexto, resulte su carácter indisponible..." y el art. 960 del mismo cuerpo legal reza que "...Los jueces no tienen las facultades para modificar las estipulaciones de los contratos, excepto que sea a pedido de una de las partes cuando lo autoriza la ley, o de oficio cuando se afecta de modo manifiesto, el orden público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Las presentes actuaciones han sido iniciadas en fecha 18 / 12 / 2015 durante la vigencia del  Decreto Ley 8904 (ver cargo de fs. 60 vta. ) y posteriormente en fecha 21 / 10 / 2017 es promulgada la ley 14.967.</w:t>
      </w:r>
    </w:p>
    <w:p>
      <w:pPr>
        <w:pStyle w:val="[Normal]"/>
        <w:spacing w:line="360" w:lineRule="auto"/>
        <w:ind w:firstLine="1134"/>
        <w:jc w:val="both"/>
        <w:rPr>
          <w:lang w:val="es-AR" w:eastAsia="es-AR" w:bidi="es-AR"/>
        </w:rPr>
      </w:pPr>
      <w:r>
        <w:rPr>
          <w:lang w:val="es-AR" w:eastAsia="es-AR" w:bidi="es-AR"/>
        </w:rPr>
        <w:t xml:space="preserve">En relación a la aplicación de un texto u otro, o ambos cuando como en el caso el expediente ha transitado durante la vigencia de una norma que luego es derogada, este Tribunal ya ha aplicado la doctrina surgente de la Suprema Corte de Justicia de la Provincia de Bs. As.</w:t>
      </w:r>
    </w:p>
    <w:p>
      <w:pPr>
        <w:pStyle w:val="[Normal]"/>
        <w:spacing w:line="360" w:lineRule="auto"/>
        <w:ind w:firstLine="1134"/>
        <w:jc w:val="both"/>
        <w:rPr>
          <w:lang w:val="es-AR" w:eastAsia="es-AR" w:bidi="es-AR"/>
        </w:rPr>
      </w:pPr>
      <w:r>
        <w:rPr>
          <w:lang w:val="es-AR" w:eastAsia="es-AR" w:bidi="es-AR"/>
        </w:rPr>
        <w:t xml:space="preserve">Así en los autos caratulados "  LLAN DE ROSOS RAMIRO JUAN  C/ MINIST.DE SALUD-I.O.M.A. S/EJECUCION HONORARIOS ", Expte. N° 2860-16 se dijo: " ... Liminarmente,  y en atención a la reciente entrada en vigencia de la Ley 14.967 que derogó el D/Ley 8904, es menester hacer referencia a los casos en que se han devengado o regulado los honorarios en la instancia primera, conforme a la anterior normativa. A tal fin, recientemente la SCBA en los autos "Morcillo, Hugo Hector c/Provincia de Bs. As. s/Inconst. Dto. Ley 9020" Causa 1-73016 del 8/11/2017, ha dicho que "En atención a que la remuneración por la labor de los abogados en los juicios se determina teniendo en cuenta las etapas cumplidas en las que el proceso se divide, resulta necesario, ante la entrada en vigor de un nuevo ordenamiento arancelario, discriminar aquellas pasadas durante la vigencia del régimen anterior de las que se hicieron a partir de la operatividad del nuevo sistema. Tal es el criterio adoptado por la Corte Suprema de Justicia de la Nación a partir del precedente que se registra en Fallos 319:1915 (mantenido en Fallos:320:31; 2349 y 2756; 321:146; 330, 532 y 1757; 325:2250). Por lo demás, dicho criterio se compadece con la línea hermenéutica sostenida en diversos precedentes de esta Suprema Corte, al resolver cuestiones similares (vgr. causa A. 70.603, "Rolón”, sent. del 28-X-2015)".</w:t>
      </w:r>
    </w:p>
    <w:p>
      <w:pPr>
        <w:pStyle w:val="[Normal]"/>
        <w:spacing w:line="360" w:lineRule="auto"/>
        <w:ind w:firstLine="1134"/>
        <w:jc w:val="both"/>
        <w:rPr>
          <w:lang w:val="es-AR" w:eastAsia="es-AR" w:bidi="es-AR"/>
        </w:rPr>
      </w:pPr>
      <w:r>
        <w:rPr>
          <w:lang w:val="es-AR" w:eastAsia="es-AR" w:bidi="es-AR"/>
        </w:rPr>
        <w:t xml:space="preserve">Entonces, la cuestión en cuanto a la aplicación de la ley de honorarios profesionales, ha quedado zanjada por el Cimero Tribunal Provincial y en relación al seguimiento por parte de los jueces de grado, de la doctrina legal, este tribunal ha dicho: "...Entonces desde este piso de marcha, la doctrina emergente de los antecedentes de la Suprema Corte de nuestra Provincia se impone aquí por cuanto es sabido que -con particularidades- aquella es obligatoria para los jueces de grado. Ello es así toda vez que "... 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insistieran en propugnar soluciones que irremisiblemente habrían de ser revocadas. Esto no significa propiciar un ciego seguimiento a los pronunciamientos de esta Corte, ni un menoscabo del deber de los jueces de fallar según su ciencia y conciencia, pues les basta -llegado el caso- dejar a salvo sus opiniones personales (conf. Ac. 42.965, sent. del 27-XI-1990 en "Acuerdos y Sentencias", 1990-IV-309; Ac. 45.768, sent. del 22-IX-1992 en "Acuerdos y Sentencias", 1992-III, 458; Ac. 52.258, sent. del 2-VIII-1994 en "Acuerdos y Sentencias", 1994-III, 208; Ac. 57.981, sent. del 27-XII-1996; Ac. 58.428, sent. del 17-II-1998)..." (  C. 92.695 ). La "... Casación Provincial en el afán de mantener la unidad de la jurisprudencia ha venido resaltando históricamente los efectos vinculantes sumamente fuertes de sus fallos vindicando el «deber moral e institucional» de los tribunales inferiores de ajustar las decisiones a las interpretaciones que constituyen doctrina legal más allá de poder dejar a salvo su opinión..." (SCBA, Ac. 2845 «Edelmann.» del 17/11/1959, Ac. 31.507 Provincia de Buenos Aires del 26/10/1982c. 43.223 – « Ramos»- del 17/1/1992, entre otros )...".</w:t>
      </w:r>
    </w:p>
    <w:p>
      <w:pPr>
        <w:pStyle w:val="[Normal]"/>
        <w:spacing w:line="360" w:lineRule="auto"/>
        <w:ind w:firstLine="1134"/>
        <w:jc w:val="both"/>
        <w:rPr>
          <w:lang w:val="es-AR" w:eastAsia="es-AR" w:bidi="es-AR"/>
        </w:rPr>
      </w:pPr>
      <w:r>
        <w:rPr>
          <w:lang w:val="es-AR" w:eastAsia="es-AR" w:bidi="es-AR"/>
        </w:rPr>
        <w:t xml:space="preserve">Y los argumentos expuestos por el juzgador -loables por cierto- no alcanzan para apartarse de la doctrina legal  que establece que para  "... </w:t>
      </w:r>
      <w:r>
        <w:rPr>
          <w:i/>
          <w:lang w:val="es-AR" w:eastAsia="es-AR" w:bidi="es-AR"/>
        </w:rPr>
        <w:t xml:space="preserve">la remuneración por la labor de los abogados en los juicios se determina teniendo en cuenta las etapas cumplidas en las que el proceso se divide</w:t>
      </w:r>
      <w:r>
        <w:rPr>
          <w:lang w:val="es-AR" w:eastAsia="es-AR" w:bidi="es-AR"/>
        </w:rPr>
        <w:t xml:space="preserve">..." (SCBA: C. " Morcillo " citada ).</w:t>
      </w:r>
    </w:p>
    <w:p>
      <w:pPr>
        <w:pStyle w:val="[Normal]"/>
        <w:spacing w:line="360" w:lineRule="auto"/>
        <w:ind w:firstLine="1134"/>
        <w:jc w:val="both"/>
        <w:rPr>
          <w:lang w:val="es-AR" w:eastAsia="es-AR" w:bidi="es-AR"/>
        </w:rPr>
      </w:pPr>
      <w:r>
        <w:rPr>
          <w:lang w:val="es-AR" w:eastAsia="es-AR" w:bidi="es-AR"/>
        </w:rPr>
        <w:t xml:space="preserve">En efecto, el fundamento utilizado por el juez a-quo en cuanto  al análisis de la ley aplicable,  no lo realiza como la Corte Provincial sobre las etapas del proceso para la determinación de la normativa sino en base a  la relación contractual que une al letrado con su cliente ( locación de servicios) y tales argumentos para apartarse de la doctrina legal, estimo que no alcanzan.</w:t>
      </w:r>
    </w:p>
    <w:p>
      <w:pPr>
        <w:pStyle w:val="[Normal]"/>
        <w:spacing w:line="360" w:lineRule="auto"/>
        <w:ind w:firstLine="1134"/>
        <w:jc w:val="both"/>
        <w:rPr>
          <w:lang w:val="es-AR" w:eastAsia="es-AR" w:bidi="es-AR"/>
        </w:rPr>
      </w:pPr>
      <w:r>
        <w:rPr>
          <w:lang w:val="es-AR" w:eastAsia="es-AR" w:bidi="es-AR"/>
        </w:rPr>
        <w:t xml:space="preserve">En efecto, ello no puede ser considerado un nuevo razonamiento para apartarse de la doctrina legal, por cuanto es innegable que el Máximo Tribunal Provincial tiene conocimiento de la existencia de la relación contractual profesional / cliente y al pronunciarse como lo hizo, implícitamente desestimó tratar la cuestión del modo que lo hace el juez a-quo.</w:t>
      </w:r>
    </w:p>
    <w:p>
      <w:pPr>
        <w:pStyle w:val="[Normal]"/>
        <w:spacing w:line="360" w:lineRule="auto"/>
        <w:ind w:firstLine="1134"/>
        <w:jc w:val="both"/>
        <w:rPr>
          <w:lang w:val="es-AR" w:eastAsia="es-AR" w:bidi="es-AR"/>
        </w:rPr>
      </w:pPr>
      <w:r>
        <w:rPr>
          <w:lang w:val="es-AR" w:eastAsia="es-AR" w:bidi="es-AR"/>
        </w:rPr>
        <w:t xml:space="preserve">Por último, tampoco serían de aplicación las normas referidas por el sentenciante ( arts. 960 y 962 C.C.C.),  que aluden a la falta de potestad de los jueces para modificar los contratos, a excepción ( entre otras ) que se vea afectado el orden público, por cuanto la misma ley 14.967, establece  en su artículo 1° que la ley es de orden público en función de su necesaria participación para el adecuado servicio de justicia y con ello la potestad jurisdiccional para modificar el contrato. También el decreto ley 8904, resulta de orden público (ver Juan.M. Hitters - Silvina Cairo: Honorario de abogados y Procuradores p. 31 y sgtes. ).</w:t>
      </w:r>
    </w:p>
    <w:p>
      <w:pPr>
        <w:pStyle w:val="[Normal]"/>
        <w:spacing w:line="360" w:lineRule="auto"/>
        <w:ind w:firstLine="1134"/>
        <w:jc w:val="both"/>
        <w:rPr>
          <w:lang w:val="es-AR" w:eastAsia="es-AR" w:bidi="es-AR"/>
        </w:rPr>
      </w:pPr>
      <w:r>
        <w:rPr>
          <w:lang w:val="es-AR" w:eastAsia="es-AR" w:bidi="es-AR"/>
        </w:rPr>
        <w:t xml:space="preserve">Asimismo tiene dicho ésta Cámara de Apelación en otra composición, pero cuyo criterio se comparte, que el carácter de orden público del arancel de honorarios de abogados impone la aplicación de sus normas aún de oficio (cfr. Roberto Berizonce - Hector O. Méndez: "Honorarios de Abogados y Procuradores", pág. 29 y sus citas)(CAP 2498 RSI 80/2005 del 21-4-2005;  4181 RSI 38/2002 del 6-3-2002). </w:t>
      </w:r>
    </w:p>
    <w:p>
      <w:pPr>
        <w:pStyle w:val="[Normal]"/>
        <w:spacing w:line="360" w:lineRule="auto"/>
        <w:ind w:firstLine="1134"/>
        <w:jc w:val="both"/>
        <w:rPr>
          <w:lang w:val="es-AR" w:eastAsia="es-AR" w:bidi="es-AR"/>
        </w:rPr>
      </w:pPr>
      <w:r>
        <w:rPr>
          <w:lang w:val="es-AR" w:eastAsia="es-AR" w:bidi="es-AR"/>
        </w:rPr>
        <w:t xml:space="preserve">En consecuencia este segmento del recurso debe ser recibido (arts. 7 C.C.C., 1, 23 de la ley 14.957 ).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 a la segunda cuestión, </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tercera cuestión el  señor  Juez  </w:t>
      </w:r>
      <w:r>
        <w:rPr>
          <w:color w:val="000000"/>
          <w:lang w:val="es-AR" w:eastAsia="es-AR" w:bidi="es-AR"/>
        </w:rPr>
        <w:t xml:space="preserve">BERNARDO LOUISE</w:t>
      </w:r>
      <w:r>
        <w:rPr>
          <w:lang w:val="es-AR" w:eastAsia="es-AR" w:bidi="es-AR"/>
        </w:rPr>
        <w:t xml:space="preserve"> dijo: De conformidad al resultado habido al tratarse las cuestiones precedentes,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Desestimar el recurso de apelación deducido por el actor y en consecuencia confirmar la sentencia en cuanto rechaza la demanda. Con costas a su cargo por resultar vencido ( art. 68 CPC.).</w:t>
      </w:r>
    </w:p>
    <w:p>
      <w:pPr>
        <w:pStyle w:val="[Normal]"/>
        <w:spacing w:line="360" w:lineRule="auto"/>
        <w:ind w:firstLine="1134"/>
        <w:jc w:val="both"/>
        <w:rPr>
          <w:lang w:val="es-AR" w:eastAsia="es-AR" w:bidi="es-AR"/>
        </w:rPr>
      </w:pPr>
      <w:r>
        <w:rPr>
          <w:lang w:val="es-AR" w:eastAsia="es-AR" w:bidi="es-AR"/>
        </w:rPr>
        <w:t xml:space="preserve">2) Hacer lugar al recurso de apelación interpuesto por los Dres. Juliana y Ricardo Labaronnie. En consecuencia, deberá el Sr. juez de la instancia anterior regular los emolumentos profesionales de los Letrados apelantes conforme las pautas antes dichas.</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Desestimar el recurso de apelación deducido por Antonio A. Bach y en consecuencia confirmar la sentencia  en cuanto rechaza la demanda. Con costas a su cargo por resultar vencido ( art. 68 CPC.).</w:t>
      </w:r>
    </w:p>
    <w:p>
      <w:pPr>
        <w:pStyle w:val="[Normal]"/>
        <w:spacing w:line="360" w:lineRule="auto"/>
        <w:ind w:firstLine="1134"/>
        <w:jc w:val="both"/>
        <w:rPr>
          <w:lang w:val="es-AR" w:eastAsia="es-AR" w:bidi="es-AR"/>
        </w:rPr>
      </w:pPr>
      <w:r>
        <w:rPr>
          <w:lang w:val="es-AR" w:eastAsia="es-AR" w:bidi="es-AR"/>
        </w:rPr>
        <w:t xml:space="preserve">2) Hacer lugar al recurso de apelación interpuesto por los Dres. Juliana y Ricardo Labaronnie. En consecuencia, deberá el Sr. juez de la instancia anterior regular los emolumentos profesionales de los Letrados apelantes conforme las pautas antes dichas.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20175049704@NOTIFICACIONES.SCBA.GOV.AR</w:t>
      </w:r>
    </w:p>
    <w:p>
      <w:pPr>
        <w:pStyle w:val="[Normal]"/>
        <w:rPr>
          <w:color w:val="000000"/>
          <w:lang w:val="es-AR" w:eastAsia="es-AR" w:bidi="es-AR"/>
        </w:rPr>
      </w:pPr>
      <w:r>
        <w:rPr>
          <w:color w:val="000000"/>
          <w:lang w:val="es-AR" w:eastAsia="es-AR" w:bidi="es-AR"/>
        </w:rPr>
        <w:t xml:space="preserve">20167480463@NOTIFICACIONES.SCBA.GOV.AR</w:t>
      </w:r>
    </w:p>
    <w:p>
      <w:pPr>
        <w:pStyle w:val="[Normal]"/>
        <w:rPr>
          <w:color w:val="000000"/>
          <w:lang w:val="es-AR" w:eastAsia="es-AR" w:bidi="es-AR"/>
        </w:rPr>
      </w:pPr>
      <w:r>
        <w:rPr>
          <w:color w:val="000000"/>
          <w:lang w:val="es-AR" w:eastAsia="es-AR" w:bidi="es-AR"/>
        </w:rPr>
        <w:t xml:space="preserve">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color w:val="000000"/>
          <w:lang w:val="es-AR" w:eastAsia="es-AR" w:bidi="es-AR"/>
        </w:rPr>
        <w:t xml:space="preserve">27202958023@NOTIFICACIONES.SCBA.GOV.AR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15/04/2021 10:03:31 -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15/04/2021 10:11:19 -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15/04/2021 10:38:14 -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15/04/2021 11:48:23 -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20167480463@NOTIFICACIONES.SCBA.GOV.AR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20175049704@NOTIFICACIONES.SCBA.GOV.AR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27202958023@NOTIFICACIONES.SCBA.GOV.AR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‰6i")è%-8&amp;`Š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227302090005132406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7" w:h="16834"/>
      <w:pgMar w:top="3174"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4140 - 20 - BATCH ANTONIO ANGEL C/ DONZA JUANA EMILIA Y OTROS S/DAÑOS Y PERJ. INCUMP. CONTRACTUAL (EXC. 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‰6i")è%-8&amp;`Š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227302090005132406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