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b/>
          <w:lang w:val="es-AR" w:eastAsia="es-AR" w:bidi="es-AR"/>
        </w:rPr>
        <w:t xml:space="preserve">Registro N° 52 /</w:t>
      </w:r>
      <w:r>
        <w:rPr>
          <w:b/>
          <w:color w:val="000000"/>
          <w:lang w:val="es-AR" w:eastAsia="es-AR" w:bidi="es-AR"/>
        </w:rPr>
        <w:t xml:space="preserve">2021</w:t>
      </w:r>
      <w:r>
        <w:rPr>
          <w:color w:val="000000"/>
          <w:lang w:val="es-AR" w:eastAsia="es-AR" w:bidi="es-AR"/>
        </w:rPr>
        <w:t xml:space="preserve"> </w:t>
      </w:r>
    </w:p>
    <w:p>
      <w:pPr>
        <w:pStyle w:val="[Normal]"/>
        <w:spacing w:line="360" w:lineRule="auto"/>
        <w:ind w:firstLine="1134"/>
        <w:jc w:val="both"/>
        <w:rPr>
          <w:lang w:val="es-AR" w:eastAsia="es-AR" w:bidi="es-AR"/>
        </w:rPr>
      </w:pPr>
      <w:r>
        <w:rPr>
          <w:b/>
          <w:lang w:val="es-AR" w:eastAsia="es-AR" w:bidi="es-AR"/>
        </w:rPr>
        <w:t xml:space="preserve">Folio 250/252</w:t>
      </w:r>
    </w:p>
    <w:p>
      <w:pPr>
        <w:pStyle w:val="[Normal]"/>
        <w:spacing w:line="360" w:lineRule="auto"/>
        <w:ind w:firstLine="1134"/>
        <w:jc w:val="both"/>
        <w:rPr>
          <w:lang w:val="es-AR" w:eastAsia="es-AR" w:bidi="es-AR"/>
        </w:rPr>
      </w:pPr>
    </w:p>
    <w:p>
      <w:pPr>
        <w:pStyle w:val="[Normal]"/>
        <w:spacing w:line="360" w:lineRule="auto"/>
        <w:ind w:firstLine="1134"/>
        <w:jc w:val="both"/>
        <w:rPr>
          <w:b/>
          <w:lang w:val="es-AR" w:eastAsia="es-AR" w:bidi="es-AR"/>
        </w:rPr>
      </w:pPr>
      <w:r>
        <w:rPr>
          <w:lang w:val="es-AR" w:eastAsia="es-AR" w:bidi="es-AR"/>
        </w:rPr>
        <w:t xml:space="preserve">En la ciudad de Pergamino, el 27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4142-20</w:t>
      </w:r>
      <w:r>
        <w:rPr>
          <w:lang w:val="es-AR" w:eastAsia="es-AR" w:bidi="es-AR"/>
        </w:rPr>
        <w:t xml:space="preserve"> caratulados </w:t>
      </w:r>
      <w:r>
        <w:rPr>
          <w:b/>
          <w:lang w:val="es-AR" w:eastAsia="es-AR" w:bidi="es-AR"/>
        </w:rPr>
        <w:t xml:space="preserve">"</w:t>
      </w:r>
      <w:r>
        <w:rPr>
          <w:b/>
          <w:color w:val="000000"/>
          <w:lang w:val="es-AR" w:eastAsia="es-AR" w:bidi="es-AR"/>
        </w:rPr>
        <w:t xml:space="preserve">PAGNAN JUAN CARLOS C/ TIRABASSI ANTONIO EDUARDO Y OTROS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-81471-</w:t>
      </w:r>
      <w:r>
        <w:rPr>
          <w:lang w:val="es-AR" w:eastAsia="es-AR" w:bidi="es-AR"/>
        </w:rPr>
        <w:t xml:space="preserve"> del </w:t>
      </w:r>
      <w:r>
        <w:rPr>
          <w:color w:val="000000"/>
          <w:lang w:val="es-AR" w:eastAsia="es-AR" w:bidi="es-AR"/>
        </w:rPr>
        <w:t xml:space="preserve">Juzgado en lo Civil y Comercial N° 2 </w:t>
      </w:r>
      <w:r>
        <w:rPr>
          <w:lang w:val="es-AR" w:eastAsia="es-AR" w:bidi="es-AR"/>
        </w:rPr>
        <w:t xml:space="preserve">Departamental, encontrándose el Dr. Bernardo Louise</w:t>
      </w:r>
      <w:r>
        <w:rPr>
          <w:color w:val="000000"/>
          <w:lang w:val="es-AR" w:eastAsia="es-AR" w:bidi="es-AR"/>
        </w:rPr>
        <w:t xml:space="preserve"> </w:t>
      </w:r>
      <w:r>
        <w:rPr>
          <w:lang w:val="es-AR" w:eastAsia="es-AR" w:bidi="es-AR"/>
        </w:rPr>
        <w:t xml:space="preserve">excusado con fecha 17/12/2020, se ordenó la integración de este Tribunal y se practicó el sorteo de ley que determinó que la votación debía efectuarse en el siguiente orden: Graciela Scaraffia y Roberto Degleue, estudiados los autos se resolvió plantear y votar las siguientes: </w:t>
      </w:r>
    </w:p>
    <w:p>
      <w:pPr>
        <w:pStyle w:val="[Normal]"/>
        <w:spacing w:line="360" w:lineRule="auto"/>
        <w:ind w:firstLine="1134"/>
        <w:jc w:val="both"/>
        <w:rPr>
          <w:color w:val="000000"/>
          <w:lang w:val="es-AR" w:eastAsia="es-AR" w:bidi="es-AR"/>
        </w:rPr>
      </w:pPr>
      <w:r>
        <w:rPr>
          <w:color w:val="000000"/>
          <w:lang w:val="es-AR" w:eastAsia="es-AR" w:bidi="es-AR"/>
        </w:rPr>
        <w:t xml:space="preserve">C U E S T I O N E S:</w:t>
      </w:r>
    </w:p>
    <w:p>
      <w:pPr>
        <w:pStyle w:val="[Normal]"/>
        <w:spacing w:line="360" w:lineRule="auto"/>
        <w:ind w:firstLine="1134"/>
        <w:jc w:val="both"/>
        <w:rPr>
          <w:color w:val="000000"/>
          <w:lang w:val="es-AR" w:eastAsia="es-AR" w:bidi="es-AR"/>
        </w:rPr>
      </w:pPr>
      <w:r>
        <w:rPr>
          <w:color w:val="000000"/>
          <w:lang w:val="es-AR" w:eastAsia="es-AR" w:bidi="es-AR"/>
        </w:rPr>
        <w:t xml:space="preserve">I) ¿Resulta apelable la providencia atacada?.</w:t>
      </w:r>
    </w:p>
    <w:p>
      <w:pPr>
        <w:pStyle w:val="[Normal]"/>
        <w:spacing w:line="360" w:lineRule="auto"/>
        <w:ind w:firstLine="1134"/>
        <w:jc w:val="both"/>
        <w:rPr>
          <w:color w:val="000000"/>
          <w:lang w:val="es-AR" w:eastAsia="es-AR" w:bidi="es-AR"/>
        </w:rPr>
      </w:pPr>
      <w:r>
        <w:rPr>
          <w:color w:val="000000"/>
          <w:lang w:val="es-AR" w:eastAsia="es-AR" w:bidi="es-AR"/>
        </w:rPr>
        <w:t xml:space="preserve">II) ¿Qué pronunciamiento corresponde dictar?.</w:t>
      </w:r>
    </w:p>
    <w:p>
      <w:pPr>
        <w:pStyle w:val="[Normal]"/>
        <w:spacing w:line="360" w:lineRule="auto"/>
        <w:ind w:firstLine="1134"/>
        <w:jc w:val="both"/>
        <w:rPr>
          <w:color w:val="000000"/>
          <w:lang w:val="es-AR" w:eastAsia="es-AR" w:bidi="es-AR"/>
        </w:rPr>
      </w:pPr>
      <w:r>
        <w:rPr>
          <w:color w:val="000000"/>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color w:val="000000"/>
          <w:lang w:val="es-AR" w:eastAsia="es-AR" w:bidi="es-AR"/>
        </w:rPr>
        <w:t xml:space="preserve">La Sra. Jueza de primera instancia mediante el proveído atacado dispuso que en </w:t>
      </w:r>
      <w:r>
        <w:rPr>
          <w:lang w:val="es-AR" w:eastAsia="es-AR" w:bidi="es-AR"/>
        </w:rPr>
        <w:t xml:space="preserve">atención a que la liquidación allegada por la parte actora no se compadece con la sentencia dictada a fs. 120 por cuanto en la misma se fija la suma de $4.826.000 en concepto de capital, aclarado que sea se proveería. Asimismo, añadió que correspondía que el peticionante allegue en relación a los intereses la respectiva planilla de liquidación de los mismos, también conforme a la sentencia ya dictada.</w:t>
      </w:r>
    </w:p>
    <w:p>
      <w:pPr>
        <w:pStyle w:val="[Normal]"/>
        <w:spacing w:line="360" w:lineRule="auto"/>
        <w:ind w:firstLine="1134"/>
        <w:jc w:val="both"/>
        <w:rPr>
          <w:b/>
          <w:lang w:val="es-AR" w:eastAsia="es-AR" w:bidi="es-AR"/>
        </w:rPr>
      </w:pPr>
      <w:r>
        <w:rPr>
          <w:lang w:val="es-AR" w:eastAsia="es-AR" w:bidi="es-AR"/>
        </w:rPr>
        <w:t xml:space="preserve">Mediante presentación electrónica de fecha 24-9-2020 el accionante procedió  a aclarar lo señalado por la magistrada. En la misma presentación, y para el caso que se rechace lo manifestado interpuso recurso de revocatoria con apelación en subsidio. Frente a ello luce resolutorio del operador de fecha 27-11-2020 advirtiendo la interposición del mencionado recurso, sobre lo que da traslado a la contraparte, el que fuera evacuado mediante el escrito electrónico del 30-11-2020. En fecha 4-12-2020, lo tiene por contestado y dispone que </w:t>
      </w:r>
      <w:r>
        <w:rPr>
          <w:i/>
          <w:lang w:val="es-AR" w:eastAsia="es-AR" w:bidi="es-AR"/>
        </w:rPr>
        <w:t xml:space="preserve">"Por los fundamentos ya dados, se mantiene el auto atacado de fecha 21/09/2020"</w:t>
      </w:r>
      <w:r>
        <w:rPr>
          <w:lang w:val="es-AR" w:eastAsia="es-AR" w:bidi="es-AR"/>
        </w:rPr>
        <w:t xml:space="preserve">, procediendo a elevar la causa a esta sede. </w:t>
      </w:r>
    </w:p>
    <w:p>
      <w:pPr>
        <w:pStyle w:val="[Normal]"/>
        <w:spacing w:line="360" w:lineRule="auto"/>
        <w:ind w:firstLine="1134"/>
        <w:jc w:val="both"/>
        <w:rPr>
          <w:lang w:val="es-AR" w:eastAsia="es-AR" w:bidi="es-AR"/>
        </w:rPr>
      </w:pPr>
      <w:r>
        <w:rPr>
          <w:lang w:val="es-AR" w:eastAsia="es-AR" w:bidi="es-AR"/>
        </w:rPr>
        <w:t xml:space="preserve">Liminarmente he de señalar que la causa exhibe confusiones y errores procesales que han elongado el trámite innecesariamente</w:t>
      </w:r>
      <w:r>
        <w:rPr>
          <w:b/>
          <w:lang w:val="es-AR" w:eastAsia="es-AR" w:bidi="es-AR"/>
        </w:rPr>
        <w:t xml:space="preserve">,</w:t>
      </w:r>
      <w:r>
        <w:rPr>
          <w:lang w:val="es-AR" w:eastAsia="es-AR" w:bidi="es-AR"/>
        </w:rPr>
        <w:t xml:space="preserve"> con un desgaste jurisdiccional inútil que afecta los tiempos del proceso y altera los principios de economía y celeridad procesal.</w:t>
      </w:r>
    </w:p>
    <w:p>
      <w:pPr>
        <w:pStyle w:val="[Normal]"/>
        <w:spacing w:line="360" w:lineRule="auto"/>
        <w:ind w:firstLine="1134"/>
        <w:jc w:val="both"/>
        <w:rPr>
          <w:lang w:val="es-AR" w:eastAsia="es-AR" w:bidi="es-AR"/>
        </w:rPr>
      </w:pPr>
      <w:r>
        <w:rPr>
          <w:lang w:val="es-AR" w:eastAsia="es-AR" w:bidi="es-AR"/>
        </w:rPr>
        <w:t xml:space="preserve">Ello así, comienzo por señalar que la parte actora mediante escrito electrónico de fecha 24-9-2020 procedió correctamente a aclarar lo indicado por la magistrada pero a posteriori medió un error en orden a proveer dicha presentación por cuanto la magistrada de grado solamente la tuvo presente sin agregar nada más al respecto.</w:t>
      </w:r>
    </w:p>
    <w:p>
      <w:pPr>
        <w:pStyle w:val="[Normal]"/>
        <w:spacing w:line="360" w:lineRule="auto"/>
        <w:ind w:firstLine="1134"/>
        <w:jc w:val="both"/>
        <w:rPr>
          <w:lang w:val="es-AR" w:eastAsia="es-AR" w:bidi="es-AR"/>
        </w:rPr>
      </w:pPr>
      <w:r>
        <w:rPr>
          <w:lang w:val="es-AR" w:eastAsia="es-AR" w:bidi="es-AR"/>
        </w:rPr>
        <w:t xml:space="preserve">Por otro lado, el actor en la misma presentación dedujo revocatoria con apelación subsidiaria. El a-quo, casi dos meses después de su interposición, rechazó la primera pero omitió expedirse sobre la última elevando los autos al Tribunal revisor (v. providencia del 4-12-2020), de modo que no existe apelación concedida que habilite a este Tribunal avocarse a la queja traída (art. 248, 242 y 243 a contrario sensu del CPCC). Ésta entonces deviene prematura, por lo que en su caso debería la parte interesada, obtener pronunciamiento acerca de aquella pretensión recursiva en la instancia correspondiente.</w:t>
      </w:r>
    </w:p>
    <w:p>
      <w:pPr>
        <w:pStyle w:val="[Normal]"/>
        <w:spacing w:line="360" w:lineRule="auto"/>
        <w:ind w:firstLine="1134"/>
        <w:jc w:val="both"/>
        <w:rPr>
          <w:color w:val="000000"/>
          <w:lang w:val="es-AR" w:eastAsia="es-AR" w:bidi="es-AR"/>
        </w:rPr>
      </w:pPr>
      <w:r>
        <w:rPr>
          <w:color w:val="000000"/>
          <w:lang w:val="es-AR" w:eastAsia="es-AR" w:bidi="es-AR"/>
        </w:rPr>
        <w:t xml:space="preserve">No obstante lo anterior, por razones de celeridad y economía procesal </w:t>
      </w:r>
      <w:r>
        <w:rPr>
          <w:lang w:val="es-AR" w:eastAsia="es-AR" w:bidi="es-AR"/>
        </w:rPr>
        <w:t xml:space="preserve">y fundamentalmente a fin de reencauzar el trámite de la causa (conf. art. 34 inc. 4 y 5 del CPCC), considero que </w:t>
      </w:r>
      <w:r>
        <w:rPr>
          <w:color w:val="000000"/>
          <w:lang w:val="es-AR" w:eastAsia="es-AR" w:bidi="es-AR"/>
        </w:rPr>
        <w:t xml:space="preserve">la decisión atacada deviene irrecurrible.</w:t>
      </w:r>
    </w:p>
    <w:p>
      <w:pPr>
        <w:pStyle w:val="[Normal]"/>
        <w:spacing w:line="360" w:lineRule="auto"/>
        <w:ind w:firstLine="1134"/>
        <w:jc w:val="both"/>
        <w:rPr>
          <w:color w:val="000000"/>
          <w:lang w:val="es-AR" w:eastAsia="es-AR" w:bidi="es-AR"/>
        </w:rPr>
      </w:pPr>
      <w:r>
        <w:rPr>
          <w:color w:val="000000"/>
          <w:lang w:val="es-AR" w:eastAsia="es-AR" w:bidi="es-AR"/>
        </w:rPr>
        <w:t xml:space="preserve">Es que la misma sindica que "</w:t>
      </w:r>
      <w:r>
        <w:rPr>
          <w:lang w:val="es-AR" w:eastAsia="es-AR" w:bidi="es-AR"/>
        </w:rPr>
        <w:t xml:space="preserve">Atento que la liquidación traída no se compadece con la sentencia dictada a fs. 120, por cuanto la misma fija la suma de Pesos CUATRO MILLONES OCHOCIENTOS VEINTISEIS MIL CON 0/100 ($4.826.000,00) en concepto de capital, </w:t>
      </w:r>
      <w:r>
        <w:rPr>
          <w:u w:val="single"/>
          <w:lang w:val="es-AR" w:eastAsia="es-AR" w:bidi="es-AR"/>
        </w:rPr>
        <w:t xml:space="preserve">aclarado que sea se proveerá</w:t>
      </w:r>
      <w:r>
        <w:rPr>
          <w:lang w:val="es-AR" w:eastAsia="es-AR" w:bidi="es-AR"/>
        </w:rPr>
        <w:t xml:space="preserve">" (el subrayado me pertenece). </w:t>
      </w:r>
    </w:p>
    <w:p>
      <w:pPr>
        <w:pStyle w:val="[Normal]"/>
        <w:spacing w:line="360" w:lineRule="auto"/>
        <w:ind w:firstLine="1134"/>
        <w:jc w:val="both"/>
        <w:rPr>
          <w:color w:val="000000"/>
          <w:lang w:val="es-AR" w:eastAsia="es-AR" w:bidi="es-AR"/>
        </w:rPr>
      </w:pPr>
      <w:r>
        <w:rPr>
          <w:color w:val="000000"/>
          <w:lang w:val="es-AR" w:eastAsia="es-AR" w:bidi="es-AR"/>
        </w:rPr>
        <w:t xml:space="preserve">Es decir que a resultas de la misma, podrá quedar definido el punto y en su caso, generar o no agravio a la parte.</w:t>
      </w:r>
    </w:p>
    <w:p>
      <w:pPr>
        <w:pStyle w:val="[Normal]"/>
        <w:spacing w:line="360" w:lineRule="auto"/>
        <w:ind w:firstLine="1134"/>
        <w:jc w:val="both"/>
        <w:rPr>
          <w:color w:val="000000"/>
          <w:lang w:val="es-AR" w:eastAsia="es-AR" w:bidi="es-AR"/>
        </w:rPr>
      </w:pPr>
      <w:r>
        <w:rPr>
          <w:color w:val="000000"/>
          <w:lang w:val="es-AR" w:eastAsia="es-AR" w:bidi="es-AR"/>
        </w:rPr>
        <w:t xml:space="preserve">Tiene dicho el Superior Tribunal provincial que "Sobre un agravio hipotético o eventual no puede edificarse ningún recurso (arg.art.242 C.P.C.)" (Ac 41002 del 20-6-1989), habiendo resuelto esta Cámara, que no resulta admisible la apelación fundada en el gravamen eventual, ya que el perjuicio debe ser cierto y concreto respecto de quien recurre (confr. causa C- 4954 RSD 185/03). A la par que </w:t>
      </w:r>
      <w:r>
        <w:rPr>
          <w:lang w:val="es-AR" w:eastAsia="es-AR" w:bidi="es-AR"/>
        </w:rPr>
        <w:t xml:space="preserve">es pauta general en materia de apelaciones que las providencias que nada deciden o postergan la decisión para otra oportunidad, no resultan susceptibles de tal recurso por no causar agravio irreparable en los términos del art. 242, inc. 3, del ritual (cfr. CC0001 QL 12537 RSI-118-10 I 26/08/2010 JUBA B2902630).-</w:t>
      </w:r>
    </w:p>
    <w:p>
      <w:pPr>
        <w:pStyle w:val="[Normal]"/>
        <w:spacing w:line="360" w:lineRule="auto"/>
        <w:ind w:firstLine="1134"/>
        <w:jc w:val="both"/>
        <w:rPr>
          <w:color w:val="000000"/>
          <w:lang w:val="es-AR" w:eastAsia="es-AR" w:bidi="es-AR"/>
        </w:rPr>
      </w:pPr>
      <w:r>
        <w:rPr>
          <w:lang w:val="es-AR" w:eastAsia="es-AR" w:bidi="es-AR"/>
        </w:rPr>
        <w:t xml:space="preserve">Y en la especie mediante el decisorio atacado no se rechazó la liquidación presentada en fecha 18-9-2020 sino que se postergó su proveimiento hasta tanto se aclare lo solicitado, recaudo que si bien se cumplió según de desprende de las constancias de autos el a-quo no se expidió al respecto.</w:t>
      </w:r>
    </w:p>
    <w:p>
      <w:pPr>
        <w:pStyle w:val="[Normal]"/>
        <w:spacing w:line="360" w:lineRule="auto"/>
        <w:ind w:firstLine="1134"/>
        <w:jc w:val="both"/>
        <w:rPr>
          <w:color w:val="000000"/>
          <w:lang w:val="es-AR" w:eastAsia="es-AR" w:bidi="es-AR"/>
        </w:rPr>
      </w:pPr>
      <w:r>
        <w:rPr>
          <w:color w:val="000000"/>
          <w:lang w:val="es-AR" w:eastAsia="es-AR" w:bidi="es-AR"/>
        </w:rPr>
        <w:t xml:space="preserve">Por las razones dadas, citas legales de referencia y con el alcance indicado,</w:t>
      </w:r>
    </w:p>
    <w:p>
      <w:pPr>
        <w:pStyle w:val="[Normal]"/>
        <w:spacing w:line="360" w:lineRule="auto"/>
        <w:ind w:firstLine="1134"/>
        <w:jc w:val="both"/>
        <w:rPr>
          <w:color w:val="000000"/>
          <w:lang w:val="es-AR" w:eastAsia="es-AR" w:bidi="es-AR"/>
        </w:rPr>
      </w:pPr>
      <w:r>
        <w:rPr>
          <w:b/>
          <w:color w:val="000000"/>
          <w:lang w:val="es-AR" w:eastAsia="es-AR" w:bidi="es-AR"/>
        </w:rPr>
        <w:t xml:space="preserve">VOTO POR LA NEGATIVA.</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interpuesto y por los motivos vertidos en los considerandos precedentes declarar inapelable la providencia de fecha 21-9-2020 (arg. art. 242 y su doctr. del CPCC).</w:t>
      </w:r>
    </w:p>
    <w:p>
      <w:pPr>
        <w:pStyle w:val="[Normal]"/>
        <w:spacing w:line="360" w:lineRule="auto"/>
        <w:ind w:firstLine="1134"/>
        <w:jc w:val="both"/>
        <w:rPr>
          <w:color w:val="000000"/>
          <w:lang w:val="es-AR" w:eastAsia="es-AR" w:bidi="es-AR"/>
        </w:rPr>
      </w:pPr>
      <w:r>
        <w:rPr>
          <w:color w:val="000000"/>
          <w:lang w:val="es-AR" w:eastAsia="es-AR" w:bidi="es-AR"/>
        </w:rPr>
        <w:t xml:space="preserve">Sin costas atento el modo en que se resuelve la cuestión</w:t>
      </w:r>
      <w:r>
        <w:rPr>
          <w:lang w:val="es-AR" w:eastAsia="es-AR" w:bidi="es-AR"/>
        </w:rPr>
        <w:t xml:space="preserve"> (art. 68 1° parte a contrario sensu CPCC).</w:t>
      </w:r>
    </w:p>
    <w:p>
      <w:pPr>
        <w:pStyle w:val="[Normal]"/>
        <w:spacing w:line="360" w:lineRule="auto"/>
        <w:ind w:firstLine="1134"/>
        <w:jc w:val="both"/>
        <w:rPr>
          <w:color w:val="000000"/>
          <w:lang w:val="es-AR" w:eastAsia="es-AR" w:bidi="es-AR"/>
        </w:rPr>
      </w:pPr>
      <w:r>
        <w:rPr>
          <w:b/>
          <w:color w:val="000000"/>
          <w:lang w:val="es-AR" w:eastAsia="es-AR" w:bidi="es-AR"/>
        </w:rPr>
        <w:t xml:space="preserve">ASI LO VOTO. </w:t>
      </w:r>
    </w:p>
    <w:p>
      <w:pPr>
        <w:pStyle w:val="[Normal]"/>
        <w:spacing w:line="360" w:lineRule="auto"/>
        <w:ind w:firstLine="1134"/>
        <w:jc w:val="both"/>
        <w:rPr>
          <w:color w:val="000000"/>
          <w:lang w:val="es-AR" w:eastAsia="es-AR" w:bidi="es-AR"/>
        </w:rPr>
      </w:pPr>
      <w:r>
        <w:rPr>
          <w:color w:val="000000"/>
          <w:lang w:val="es-AR" w:eastAsia="es-AR" w:bidi="es-AR"/>
        </w:rPr>
        <w:t xml:space="preserve">A la misma cuestión el señor Juez Roberto Degleue por análogos fundamentos votó en el mismo sentido.</w:t>
      </w:r>
    </w:p>
    <w:p>
      <w:pPr>
        <w:pStyle w:val="[Normal]"/>
        <w:spacing w:line="360" w:lineRule="auto"/>
        <w:ind w:firstLine="1134"/>
        <w:jc w:val="both"/>
        <w:rPr>
          <w:color w:val="000000"/>
          <w:lang w:val="es-AR" w:eastAsia="es-AR" w:bidi="es-AR"/>
        </w:rPr>
      </w:pPr>
      <w:r>
        <w:rPr>
          <w:color w:val="000000"/>
          <w:lang w:val="es-AR" w:eastAsia="es-AR" w:bidi="es-AR"/>
        </w:rPr>
        <w:t xml:space="preserve">Con lo que terminó el presente Acuerdo, dictándose la siguiente;</w:t>
      </w:r>
    </w:p>
    <w:p>
      <w:pPr>
        <w:pStyle w:val="[Normal]"/>
        <w:spacing w:line="360" w:lineRule="auto"/>
        <w:ind w:firstLine="1134"/>
        <w:jc w:val="both"/>
        <w:rPr>
          <w:color w:val="000000"/>
          <w:lang w:val="es-AR" w:eastAsia="es-AR" w:bidi="es-AR"/>
        </w:rPr>
      </w:pPr>
      <w:r>
        <w:rPr>
          <w:b/>
          <w:color w:val="000000"/>
          <w:u w:val="single"/>
          <w:lang w:val="es-AR" w:eastAsia="es-AR" w:bidi="es-AR"/>
        </w:rPr>
        <w:t xml:space="preserve">S E N T E N C I A:</w:t>
      </w:r>
    </w:p>
    <w:p>
      <w:pPr>
        <w:pStyle w:val="[Normal]"/>
        <w:spacing w:line="360" w:lineRule="auto"/>
        <w:ind w:firstLine="1134"/>
        <w:jc w:val="both"/>
        <w:rPr>
          <w:color w:val="000000"/>
          <w:lang w:val="es-AR" w:eastAsia="es-AR" w:bidi="es-AR"/>
        </w:rPr>
      </w:pPr>
      <w:r>
        <w:rPr>
          <w:color w:val="000000"/>
          <w:lang w:val="es-AR" w:eastAsia="es-AR" w:bidi="es-AR"/>
        </w:rPr>
        <w:t xml:space="preserve">Desestimar el recurso interpuesto y por los motivos vertidos en los considerandos precedentes declarar inapelable la providencia de fecha 21-9-2020 (arg. art. 242 y su doctr. del CPCC).</w:t>
      </w:r>
    </w:p>
    <w:p>
      <w:pPr>
        <w:pStyle w:val="[Normal]"/>
        <w:spacing w:line="360" w:lineRule="auto"/>
        <w:ind w:firstLine="1134"/>
        <w:jc w:val="both"/>
        <w:rPr>
          <w:color w:val="000000"/>
          <w:lang w:val="es-AR" w:eastAsia="es-AR" w:bidi="es-AR"/>
        </w:rPr>
      </w:pPr>
      <w:r>
        <w:rPr>
          <w:color w:val="000000"/>
          <w:lang w:val="es-AR" w:eastAsia="es-AR" w:bidi="es-AR"/>
        </w:rPr>
        <w:t xml:space="preserve">Sin costas atento el modo en que se resuelve la cuestión</w:t>
      </w:r>
      <w:r>
        <w:rPr>
          <w:lang w:val="es-AR" w:eastAsia="es-AR" w:bidi="es-AR"/>
        </w:rPr>
        <w:t xml:space="preserve"> (art. 68 1° parte a contrario sensu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	</w:t>
      </w:r>
      <w:r>
        <w:rPr>
          <w:noProof/>
          <w:color w:val="000000"/>
          <w:lang w:val="es-AR" w:eastAsia="es-AR" w:bidi="es-AR"/>
        </w:rPr>
        <w:t xml:space="preserve">20132282456@NOTIFICACIONES.SCBA.GOV.AR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color w:val="000000"/>
          <w:lang w:val="es-AR" w:eastAsia="es-AR" w:bidi="es-AR"/>
        </w:rPr>
        <w:t xml:space="preserve">	</w:t>
      </w:r>
      <w:r>
        <w:rPr>
          <w:noProof/>
          <w:color w:val="000000"/>
          <w:lang w:val="es-AR" w:eastAsia="es-AR" w:bidi="es-AR"/>
        </w:rPr>
        <w:t xml:space="preserve">20162700821@NOTIFICACIONES.SCBA.GOV.AR</w:t>
      </w: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27/04/2021 10:00:00 -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27/04/2021 10:20:48 -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Funcionario Firmante: 27/04/2021 10:21:38 -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20132282456@NOTIFICACIONES.SCBA.GOV.AR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noProof/>
        </w:rPr>
        <w:t xml:space="preserve">Domicilio Electrónico: 20162700821@NOTIFICACIONES.SCBA.GOV.AR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noProof/>
          <w:sz w:val="60"/>
        </w:rPr>
      </w:pPr>
      <w:r>
        <w:rPr>
          <w:rFonts w:ascii="BarCode 128" w:hAnsi="BarCode 128" w:eastAsia="BarCode 128" w:cs="BarCode 128"/>
          <w:noProof/>
          <w:sz w:val="60"/>
        </w:rPr>
        <w:t xml:space="preserve">‰6e")è%(1!7Š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noProof/>
          <w:sz w:val="20"/>
        </w:rPr>
      </w:pPr>
      <w:r>
        <w:rPr>
          <w:noProof/>
          <w:sz w:val="20"/>
        </w:rPr>
        <w:t xml:space="preserve">226902090005081701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noProof/>
        </w:rPr>
      </w:pPr>
      <w:r>
        <w:rPr>
          <w:noProof/>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noProof/>
        </w:rPr>
      </w:pPr>
      <w:r>
        <w:rPr>
          <w:rStyle w:val="B"/>
          <w:noProof/>
          <w:u w:val="single"/>
        </w:rPr>
        <w:t xml:space="preserve">NO CONTIENE ARCHIVOS ADJUNTOS</w:t>
      </w:r>
    </w:p>
    <w:p>
      <w:pPr>
        <w:pStyle w:val="[Normal]"/>
        <w:rPr>
          <w:noProof/>
        </w:rPr>
      </w:pPr>
    </w:p>
    <w:sectPr>
      <w:headerReference w:type="default" r:id="rId00004"/>
      <w:footerReference w:type="default" r:id="rId00005"/>
      <w:pgSz w:w="11906" w:h="16837"/>
      <w:pgMar w:top="3232" w:right="851"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tbl>
    <w:tblPr>
      <w:tblW w:w="0" w:type="auto"/>
      <w:jc w:val="left"/>
      <w:tblInd w:w="30" w:type="dxa"/>
      <w:tblBorders>
        <w:top w:val="none"/>
        <w:left w:val="none"/>
        <w:bottom w:val="none"/>
        <w:right w:val="none"/>
        <w:insideH w:val="none"/>
        <w:insideV w:val="none"/>
      </w:tblBorders>
      <w:tblLayout w:type="fixed"/>
      <w:tblCellMar>
        <w:top w:w="0" w:type="dxa"/>
        <w:left w:w="30" w:type="dxa"/>
        <w:bottom w:w="0" w:type="dxa"/>
        <w:right w:w="30" w:type="dxa"/>
      </w:tblCellMar>
    </w:tblPr>
    <w:tblGrid>
      <w:gridCol w:w="8220"/>
    </w:tblGrid>
    <w:tr>
      <w:tc>
        <w:tcPr>
          <w:tcW w:w="8220" w:type="dxa"/>
          <w:shd w:val="clear" w:color="auto" w:fill="auto"/>
          <w:vAlign w:val="top"/>
        </w:tcPr>
        <w:p>
          <w:pPr>
            <w:pStyle w:val="[Normal]"/>
            <w:rPr>
              <w:b/>
              <w:color w:val="000000"/>
              <w:sz w:val="20"/>
              <w:lang w:val="es-AR" w:eastAsia="es-AR" w:bidi="es-AR"/>
            </w:rPr>
          </w:pPr>
          <w:r>
            <w:rPr>
              <w:b/>
              <w:color w:val="000000"/>
              <w:sz w:val="20"/>
              <w:lang w:val="es-AR" w:eastAsia="es-AR" w:bidi="es-AR"/>
            </w:rPr>
            <w:t xml:space="preserve">4142 - 20 - PAGNAN JUAN CARLOS C/ TIRABASSI ANTONIO EDUARDO Y OTROS S/ COBRO EJECUTIVO</w:t>
          </w:r>
        </w:p>
        <w:p>
          <w:pPr>
            <w:pStyle w:val="[Normal]"/>
            <w:jc w:val="right"/>
            <w:rPr>
              <w:lang w:val="es-AR" w:eastAsia="es-AR" w:bidi="es-AR"/>
            </w:rPr>
          </w:pPr>
          <w:r>
            <w:rPr>
              <w:rFonts w:ascii="BarCode 128" w:hAnsi="BarCode 128" w:eastAsia="BarCode 128" w:cs="BarCode 128"/>
              <w:color w:val="000000"/>
              <w:sz w:val="50"/>
              <w:lang w:val="es-AR" w:eastAsia="es-AR" w:bidi="es-AR"/>
            </w:rPr>
            <w:t xml:space="preserve">‰6e")è%(1!7Š</w:t>
          </w:r>
        </w:p>
      </w:tc>
    </w:tr>
    <w:tr>
      <w:tc>
        <w:tcPr>
          <w:tcW w:w="8220" w:type="dxa"/>
          <w:shd w:val="clear" w:color="auto" w:fill="auto"/>
          <w:vAlign w:val="top"/>
        </w:tcPr>
        <w:p>
          <w:pPr>
            <w:pStyle w:val="[Normal]"/>
            <w:rPr>
              <w:lang w:val="es-AR" w:eastAsia="es-AR" w:bidi="es-AR"/>
            </w:rPr>
          </w:pPr>
          <w:r>
            <w:rPr>
              <w:lang w:val="es-AR" w:eastAsia="es-AR" w:bidi="es-AR"/>
            </w:rPr>
            <w:drawing>
              <wp:inline distT="0" distB="0" distL="0" distR="0">
                <wp:extent cx="1466850" cy="9525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1466850" cy="952500"/>
                        </a:xfrm>
                        <a:prstGeom prst="rect">
                          <a:avLst/>
                        </a:prstGeom>
                      </pic:spPr>
                    </pic:pic>
                  </a:graphicData>
                </a:graphic>
              </wp:inline>
            </w:drawing>
          </w:r>
        </w:p>
      </w:tc>
    </w:tr>
  </w:tbl>
  <w:p>
    <w:pPr>
      <w:pStyle w:val="[Normal]"/>
      <w:jc w:val="right"/>
      <w:rPr>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paragraph" w:styleId="P">
    <w:name w:val="P"/>
    <w:basedOn w:val="BODY"/>
    <w:next w:val="P"/>
    <w:qFormat/>
    <w:pPr/>
    <w:rPr>
      <w:sz w:val="23"/>
      <w:szCs w:val="23"/>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