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42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208/210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20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4153-20</w:t>
      </w:r>
      <w:r>
        <w:rPr>
          <w:lang w:val="es-AR" w:eastAsia="es-AR" w:bidi="es-AR"/>
        </w:rPr>
        <w:t xml:space="preserve"> caratulada </w:t>
      </w:r>
      <w:r>
        <w:rPr>
          <w:b/>
          <w:lang w:val="es-AR" w:eastAsia="es-AR" w:bidi="es-AR"/>
        </w:rPr>
        <w:t xml:space="preserve">"</w:t>
      </w:r>
      <w:r>
        <w:rPr>
          <w:b/>
          <w:color w:val="000000"/>
          <w:lang w:val="es-AR" w:eastAsia="es-AR" w:bidi="es-AR"/>
        </w:rPr>
        <w:t xml:space="preserve">CREDITOS DEL INTERIOR S.R.L  C/ CABRERA MONICA BEATRIZ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85389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Scaraffía, Roberto Manuel Degleue y Bernardo Louise,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Scarafffía dijo:</w:t>
      </w:r>
    </w:p>
    <w:p>
      <w:pPr>
        <w:pStyle w:val="[Normal]"/>
        <w:spacing w:line="360" w:lineRule="auto"/>
        <w:ind w:firstLine="1134"/>
        <w:jc w:val="both"/>
        <w:rPr>
          <w:lang w:val="es-AR" w:eastAsia="es-AR" w:bidi="es-AR"/>
        </w:rPr>
      </w:pPr>
      <w:r>
        <w:rPr>
          <w:color w:val="000000"/>
          <w:lang w:val="es-AR" w:eastAsia="es-AR" w:bidi="es-AR"/>
        </w:rPr>
        <w:t xml:space="preserve">La Sra. Jueza de primera instancia </w:t>
      </w:r>
      <w:r>
        <w:rPr>
          <w:lang w:val="es-AR" w:eastAsia="es-AR" w:bidi="es-AR"/>
        </w:rPr>
        <w:t xml:space="preserve">mandó llevar a cabo la ejecución hasta tanto la deudora Cabrera Mónica Beatriz haga al acreedor Creditos del Interior SRL, íntegro pago del capital dado en préstamo</w:t>
      </w:r>
      <w:r>
        <w:rPr>
          <w:b/>
          <w:lang w:val="es-AR" w:eastAsia="es-AR" w:bidi="es-AR"/>
        </w:rPr>
        <w:t xml:space="preserve"> </w:t>
      </w:r>
      <w:r>
        <w:rPr>
          <w:lang w:val="es-AR" w:eastAsia="es-AR" w:bidi="es-AR"/>
        </w:rPr>
        <w:t xml:space="preserve">($16.000), con más el interés a la tasa pasiva anual promedio del mercado difundida por el Banco Central de la República Argentina vigente a la fecha de celebración del contrato, desde la fecha de mora declarada (10-9-2018), con más las costas de la ejecución. Finalmente, difirió la regulación de honorarios del letrado interviniente para el momento en que obre en autos liquidación firme. </w:t>
      </w:r>
    </w:p>
    <w:p>
      <w:pPr>
        <w:pStyle w:val="[Normal]"/>
        <w:spacing w:line="360" w:lineRule="auto"/>
        <w:ind w:firstLine="1134"/>
        <w:jc w:val="both"/>
        <w:rPr>
          <w:color w:val="000000"/>
          <w:lang w:val="es-AR" w:eastAsia="es-AR" w:bidi="es-AR"/>
        </w:rPr>
      </w:pPr>
      <w:r>
        <w:rPr>
          <w:color w:val="000000"/>
          <w:lang w:val="es-AR" w:eastAsia="es-AR" w:bidi="es-AR"/>
        </w:rPr>
        <w:t xml:space="preserve">Disconforme con lo resuelto apela la actora mediante el escrito electrónico de fecha 24-11-2020, concedido el recurso en relación el 26-11-2020, fundado en el acto de su interposición, no habiendo la parte demandada evacuado el traslado conferido.</w:t>
      </w:r>
    </w:p>
    <w:p>
      <w:pPr>
        <w:pStyle w:val="[Normal]"/>
        <w:spacing w:line="360" w:lineRule="auto"/>
        <w:ind w:firstLine="1134"/>
        <w:jc w:val="both"/>
        <w:rPr>
          <w:lang w:val="es-AR" w:eastAsia="es-AR" w:bidi="es-AR"/>
        </w:rPr>
      </w:pPr>
      <w:r>
        <w:rPr>
          <w:color w:val="000000"/>
          <w:lang w:val="es-AR" w:eastAsia="es-AR" w:bidi="es-AR"/>
        </w:rPr>
        <w:t xml:space="preserve">Elevados los autos electrónicamente, se llama autos para resolver el 22-12-2020,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el recurrente por cuanto el a-quo estableció el interés  aplicando la tasa pasiva anual promedio del mercado difundida por el Banco Central de la República Argentina vigente a la fecha de celebración del contrato, cuando en el </w:t>
      </w:r>
      <w:r>
        <w:rPr>
          <w:lang w:val="es-AR" w:eastAsia="es-AR" w:bidi="es-AR"/>
        </w:rPr>
        <w:t xml:space="preserve">contrato de mutuo aportado al dar curso a la demanda se establece que</w:t>
      </w:r>
      <w:r>
        <w:rPr>
          <w:rStyle w:val="EM"/>
          <w:i w:val="off"/>
          <w:lang w:val="es-AR" w:eastAsia="es-AR" w:bidi="es-AR"/>
        </w:rPr>
        <w:t xml:space="preserve"> el importe de intereses acordados equivale a una tasa efectiva anual del 60% (5% mensual)</w:t>
      </w:r>
      <w:r>
        <w:rPr>
          <w:lang w:val="es-AR" w:eastAsia="es-AR" w:bidi="es-AR"/>
        </w:rPr>
        <w:t xml:space="preserve"> (cláusula tercera) y </w:t>
      </w:r>
      <w:r>
        <w:rPr>
          <w:rStyle w:val="EM"/>
          <w:i w:val="off"/>
          <w:lang w:val="es-AR" w:eastAsia="es-AR" w:bidi="es-AR"/>
        </w:rPr>
        <w:t xml:space="preserve">un interés punitorio equivalente al 5% mensual (60% anual), calculado sobre el saldo impago hasta el momento de la cancelación total de la deuda generada</w:t>
      </w:r>
      <w:r>
        <w:rPr>
          <w:lang w:val="es-AR" w:eastAsia="es-AR" w:bidi="es-AR"/>
        </w:rPr>
        <w:t xml:space="preserve"> (cláusula quinta).</w:t>
      </w:r>
      <w:r>
        <w:rPr>
          <w:lang w:val="es-AR" w:eastAsia="es-AR" w:bidi="es-AR"/>
        </w:rPr>
        <w:t xml:space="preserve"> En defensa de su planteo, refiere que la ejecutante ha dado cumplimiento a lo previsto en la normativa consumeril, debiendo en consecuencia el Juez dictar su resolución sujetándose a la misma, </w:t>
      </w:r>
      <w:r>
        <w:rPr>
          <w:lang w:val="es-AR" w:eastAsia="es-AR" w:bidi="es-AR"/>
        </w:rPr>
        <w:t xml:space="preserve">con independencia de la facultad de morigeración que el ordenamiento otorga al magistrado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Entrando a resolver, tiene dicho reiteradamente ésta Alzada que en principio cuando existe acuerdo de partes con relación al cómputo de intereses, cabe aplicar éste (arts. 958, 1003, 1004 y ccs. del CCyC) CAP causa N° 2921 del 31-8-2017 Reg. N° 11/2017).</w:t>
      </w:r>
    </w:p>
    <w:p>
      <w:pPr>
        <w:pStyle w:val="[Normal]"/>
        <w:spacing w:line="360" w:lineRule="auto"/>
        <w:ind w:firstLine="1134"/>
        <w:jc w:val="both"/>
        <w:rPr>
          <w:b/>
          <w:lang w:val="es-AR" w:eastAsia="es-AR" w:bidi="es-AR"/>
        </w:rPr>
      </w:pPr>
      <w:r>
        <w:rPr>
          <w:lang w:val="es-AR" w:eastAsia="es-AR" w:bidi="es-AR"/>
        </w:rPr>
        <w:t xml:space="preserve">Y si bien el CCyC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considero que corresponde posponer el análisis de las cláusulas de intereses para el momento de la liquidación desde que en esa ocasión se va a poder determinar con exactitud y precisión la suma total que corresponde a intereses, ya sean compensatorios, punitorios y desde la fecha de la mora. Resulta evidente que en esta instancia del proceso no es posible determinar si el interés pactado por las partes resulta excesivo, cuestión que deberá ser analizada ulteriormente</w:t>
      </w:r>
      <w:r>
        <w:rPr>
          <w:i/>
          <w:lang w:val="es-AR" w:eastAsia="es-AR" w:bidi="es-AR"/>
        </w:rPr>
        <w:t xml:space="preserve"> </w:t>
      </w:r>
      <w:r>
        <w:rPr>
          <w:lang w:val="es-AR" w:eastAsia="es-AR" w:bidi="es-AR"/>
        </w:rPr>
        <w:t xml:space="preserve">(conf. CAP causas Nro. 4103 Reg. 11 del 9-3-2021; Nro. 4100 Reg. 7 del 23-2-2021; Nro. 3959 Reg. 149 del 20-10-2020, entre otros). </w:t>
      </w:r>
    </w:p>
    <w:p>
      <w:pPr>
        <w:pStyle w:val="[Normal]"/>
        <w:spacing w:line="360" w:lineRule="auto"/>
        <w:ind w:firstLine="1134"/>
        <w:jc w:val="both"/>
        <w:rPr>
          <w:color w:val="000000"/>
          <w:lang w:val="es-AR" w:eastAsia="es-AR" w:bidi="es-AR"/>
        </w:rPr>
      </w:pPr>
      <w:r>
        <w:rPr>
          <w:lang w:val="es-AR" w:eastAsia="es-AR" w:bidi="es-AR"/>
        </w:rPr>
        <w:t xml:space="preserve">En este sentido, he dicho que ello no importa vulnerar la cualidad de cosa juzgada de la sentencia judicial, habida cuenta de que la revisión ulterior del monto de los intereses bien puede estar prevista en la propia resolución de condena. 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 (conf. CAP N° 3885 Reg. 118 del 3-9-2020).</w:t>
      </w:r>
    </w:p>
    <w:p>
      <w:pPr>
        <w:pStyle w:val="[Normal]"/>
        <w:spacing w:line="360" w:lineRule="auto"/>
        <w:ind w:firstLine="1134"/>
        <w:jc w:val="both"/>
        <w:rPr>
          <w:lang w:val="es-AR" w:eastAsia="es-AR" w:bidi="es-AR"/>
        </w:rPr>
      </w:pPr>
      <w:r>
        <w:rPr>
          <w:lang w:val="es-AR" w:eastAsia="es-AR" w:bidi="es-AR"/>
        </w:rPr>
        <w:t xml:space="preserve">Cabe señalar también que el carácter completo de la sentencia de condena no implica necesariamente que ésta habrá de precisar la suma nominal debida en forma definitiva, sino tan sólo que debe prever las bases jurídicas para determinar lo realmente adeudado. Por lo que, como dije, nada empece a que la resolución aludida difiera el control de abusividad de los intereses para el momento de la liquidación (oportunidad en la que el juez podrá determinar los intereses devengados con anterioridad y posterioridad a la sentencia judicial, descontar los pagos parciales realizados conforme a las reglas legales de imputación y, en definitiva, formarse una representación clara del monto final adeudado). </w:t>
      </w:r>
    </w:p>
    <w:p>
      <w:pPr>
        <w:pStyle w:val="[Normal]"/>
        <w:spacing w:line="360" w:lineRule="auto"/>
        <w:ind w:firstLine="1134"/>
        <w:jc w:val="both"/>
        <w:rPr>
          <w:lang w:val="es-AR" w:eastAsia="es-AR" w:bidi="es-AR"/>
        </w:rPr>
      </w:pPr>
      <w:r>
        <w:rPr>
          <w:lang w:val="es-AR" w:eastAsia="es-AR" w:bidi="es-AR"/>
        </w:rPr>
        <w:t xml:space="preserve">De manera que existen razones lógicas y prácticas que justifican el diferimiento de dicho análisis para la oportunidad de referencia. Y a los fines de asegurar la inmutabilidad de la cosa juzgada (que en esta materia, cabe agregar, es relativa y no absoluta por tratarse de una cosa juzgada de tipo formal), lo esencial es que las operaciones determinativas posteriores al dictado de la sentencia no aparezcan como maniobras ajenas al decisorio, sino como la plasmación efectiva de criterios determinativos allí contemplados (art. 165 y 549 del CPCCBA), aún cuando tal aplicación sea diferida y no obstante que su realización implique algún grado de valoración jurídica y no meramente matemática.</w:t>
      </w:r>
    </w:p>
    <w:p>
      <w:pPr>
        <w:pStyle w:val="[Normal]"/>
        <w:spacing w:line="360" w:lineRule="auto"/>
        <w:ind w:firstLine="1134"/>
        <w:jc w:val="both"/>
        <w:rPr>
          <w:lang w:val="es-AR" w:eastAsia="es-AR" w:bidi="es-AR"/>
        </w:rPr>
      </w:pPr>
      <w:r>
        <w:rPr>
          <w:lang w:val="es-AR" w:eastAsia="es-AR" w:bidi="es-AR"/>
        </w:rPr>
        <w:t xml:space="preserve">En función de lo expuesto, propongo a mis distinguidos colegas modificar en este punto el pronunciamiento de grado por lo que al monto de capital dado en préstamo se le adicionaran los intereses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Roberto Manuel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Scarafffía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su mérito modificar la sentencia de grado en el punto relativo a los intereses, debiéndose aplicar los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Manuel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Hacer lugar al recurso de apelación deducido </w:t>
      </w:r>
      <w:r>
        <w:rPr>
          <w:lang w:val="es-AR" w:eastAsia="es-AR" w:bidi="es-AR"/>
        </w:rPr>
        <w:t xml:space="preserve">y en su mérito modificar la sentencia de grado en el punto relativo a los intereses, debiéndose aplicar los convenidos en el contrato de mutuo, sin perjuicio de que se evaluarán si los mismos son excesivos y contrarios a la moral y las buenas costumbres en el momento de examinar la liquidación, teniendo en cuenta lo que disponen los art. 10, 279, 771, 794 y cc. del Código Civil y Comercial.</w:t>
      </w:r>
    </w:p>
    <w:p>
      <w:pPr>
        <w:pStyle w:val="[Normal]"/>
        <w:spacing w:line="360" w:lineRule="auto"/>
        <w:ind w:firstLine="1134"/>
        <w:jc w:val="both"/>
        <w:rPr>
          <w:lang w:val="es-AR" w:eastAsia="es-AR" w:bidi="es-AR"/>
        </w:rPr>
      </w:pPr>
      <w:r>
        <w:rPr>
          <w:color w:val="000000"/>
          <w:lang w:val="es-AR" w:eastAsia="es-AR" w:bidi="es-AR"/>
        </w:rPr>
        <w:t xml:space="preserve">Sin costas por no mediar contradictor (arts. 68 1° parte a contrario sensu del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20321956646@NOTIFICACIONES.SCBA.GOV.AR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10:06:27 -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10:28:50 -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10:38:00 -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10:49:22 -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20321956646@NOTIFICACIONES.SCBA.GOV.AR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‰6-")è%.H5(Š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221302090005144021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259"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4153 - 20 - CREDITOS DEL INTERIOR S.R.L  C/ CABRERA MONICA BEATRIZ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‰6-")è%.H5(Š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221302090005144021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