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43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211/213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20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4180-21</w:t>
      </w:r>
      <w:r>
        <w:rPr>
          <w:lang w:val="es-AR" w:eastAsia="es-AR" w:bidi="es-AR"/>
        </w:rPr>
        <w:t xml:space="preserve"> caratulada </w:t>
      </w:r>
      <w:r>
        <w:rPr>
          <w:b/>
          <w:lang w:val="es-AR" w:eastAsia="es-AR" w:bidi="es-AR"/>
        </w:rPr>
        <w:t xml:space="preserve">"</w:t>
      </w:r>
      <w:r>
        <w:rPr>
          <w:b/>
          <w:color w:val="000000"/>
          <w:lang w:val="es-AR" w:eastAsia="es-AR" w:bidi="es-AR"/>
        </w:rPr>
        <w:t xml:space="preserve">GALLESE JUAN CARLOS  C/ CURINI MARIAN LILIANA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85058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Roberto Manuel Degleue, Graciela Scaraffia,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La señora Jueza de la anterior instancia falló en la presente causa de trance y remate, mandando llevar adelante  la  ejecución hasta tanto la ejecutada María Liliana Curini haga al acreedor Juan Carlos Gallese, íntegro pago del capital reclamado, con más los intereses, con costas de la ejecución. Asimismo, hizo lugar a la excepción de inhabilidad de título por falta de legitimación activa opuesta por la ejecutada,  con relación al cheque nro. 11201775 librado por $ 54.000 con costas a la ejecutante. Difirió la regulación de los honorarios de los letrados intervinientes.</w:t>
      </w:r>
    </w:p>
    <w:p>
      <w:pPr>
        <w:pStyle w:val="[Normal]"/>
        <w:spacing w:line="360" w:lineRule="auto"/>
        <w:ind w:firstLine="1134"/>
        <w:jc w:val="both"/>
        <w:rPr>
          <w:lang w:val="es-AR" w:eastAsia="es-AR" w:bidi="es-AR"/>
        </w:rPr>
      </w:pPr>
      <w:r>
        <w:rPr>
          <w:lang w:val="es-AR" w:eastAsia="es-AR" w:bidi="es-AR"/>
        </w:rPr>
        <w:t xml:space="preserve">Disconforme con lo decidido apela la actora el 18/12/2020 recurso concedido en relación y habiéndose fundado al momento de su interposición. </w:t>
      </w:r>
    </w:p>
    <w:p>
      <w:pPr>
        <w:pStyle w:val="[Normal]"/>
        <w:spacing w:line="360" w:lineRule="auto"/>
        <w:ind w:firstLine="1134"/>
        <w:jc w:val="both"/>
        <w:rPr>
          <w:lang w:val="es-AR" w:eastAsia="es-AR" w:bidi="es-AR"/>
        </w:rPr>
      </w:pPr>
      <w:r>
        <w:rPr>
          <w:lang w:val="es-AR" w:eastAsia="es-AR" w:bidi="es-AR"/>
        </w:rPr>
        <w:t xml:space="preserve">Señala que se hace caso omiso al Art. 1842 y 1843 del C.C. en cuanto rezan: art 1842 Legitimación: El portador de un título a la orden queda legitimado para el ejercicio del derecho en él incorporado, por una serie no interrumpida de endosos formalmente válidos, aún cuando el último sea en blanco.</w:t>
      </w:r>
    </w:p>
    <w:p>
      <w:pPr>
        <w:pStyle w:val="[Normal]"/>
        <w:spacing w:line="360" w:lineRule="auto"/>
        <w:ind w:firstLine="1134"/>
        <w:jc w:val="both"/>
        <w:rPr>
          <w:lang w:val="es-AR" w:eastAsia="es-AR" w:bidi="es-AR"/>
        </w:rPr>
      </w:pPr>
      <w:r>
        <w:rPr>
          <w:lang w:val="es-AR" w:eastAsia="es-AR" w:bidi="es-AR"/>
        </w:rPr>
        <w:t xml:space="preserve">Entiende que el razonamiento es aplicable a la hipótesis fáctica de autos, pues que no es ineludible la existencia de un contrato de cesión de créditos para la transmisión  de derechos cartulares, siendo el tenedor mediante endoso en blanco póstumo su legítimo tenedor.</w:t>
      </w:r>
    </w:p>
    <w:p>
      <w:pPr>
        <w:pStyle w:val="[Normal]"/>
        <w:spacing w:line="360" w:lineRule="auto"/>
        <w:ind w:firstLine="1134"/>
        <w:jc w:val="both"/>
        <w:rPr>
          <w:lang w:val="es-AR" w:eastAsia="es-AR" w:bidi="es-AR"/>
        </w:rPr>
      </w:pPr>
      <w:r>
        <w:rPr>
          <w:lang w:val="es-AR" w:eastAsia="es-AR" w:bidi="es-AR"/>
        </w:rPr>
        <w:t xml:space="preserve">Sostiene que el CCYCN es claro en materia de cesión de créditos en su art. 1618 que nomina  al endoso como excepción expresa a la forma escrita, lo que acompaña la lógica en que la entrega del título (art. 1619 CCYCN) hace la legitima tenencia del endoso al portador y ese hecho jurídico implica la adquisición de los derechos cartulares (art. 1837 y 1843 CCYCN) lo que se cumple en el caso de marras en apoyo al argumento de la actora.</w:t>
      </w:r>
    </w:p>
    <w:p>
      <w:pPr>
        <w:pStyle w:val="[Normal]"/>
        <w:spacing w:line="360" w:lineRule="auto"/>
        <w:ind w:firstLine="1134"/>
        <w:jc w:val="both"/>
        <w:rPr>
          <w:lang w:val="es-AR" w:eastAsia="es-AR" w:bidi="es-AR"/>
        </w:rPr>
      </w:pPr>
      <w:r>
        <w:rPr>
          <w:lang w:val="es-AR" w:eastAsia="es-AR" w:bidi="es-AR"/>
        </w:rPr>
        <w:t xml:space="preserve">Por último considera que la sentencia vulnera principios generales del derecho (art. 2 CCYCN), pues el juez no puede liberar del pago  al deudor cartular, librador del cheque,  sino por las causales taxativamente enumeradas en la normativa cambiaria y el CCyCN en el artículo 1821 del CCYCN tales como prescripción, caducidad, pago y cancelación, pues de lo contrario estaría vulnerando no solo la buena fe confianza del acreedor cartular, sino que permitiría un enriquecimiento indebido  del librador en notorio desmedro indebido de su patrimonio del acreedor.</w:t>
      </w:r>
    </w:p>
    <w:p>
      <w:pPr>
        <w:pStyle w:val="[Normal]"/>
        <w:spacing w:line="360" w:lineRule="auto"/>
        <w:ind w:firstLine="1134"/>
        <w:jc w:val="both"/>
        <w:rPr>
          <w:lang w:val="es-AR" w:eastAsia="es-AR" w:bidi="es-AR"/>
        </w:rPr>
      </w:pPr>
      <w:r>
        <w:rPr>
          <w:lang w:val="es-AR" w:eastAsia="es-AR" w:bidi="es-AR"/>
        </w:rPr>
        <w:t xml:space="preserve">Considera el recurrente que existen argumentos de fuste para aseverar la injusticia del fallo en cuestión, vulnerando y desnaturalizando los principios básicos de la relación cambiaria, en tanto aniquila la confianza y la buena fe que hacen a la esencia de la circulación de las  títulos valores,  sino que también el juez,  jugando a legislador, discrecionalmente exonera del pago al deudor cambiario por una nueva causal no reglada en el ordenamiento jurídico, tornando la sentencia arbitraria en desmedro del patrimonio del legítimo tenedor del cheque. </w:t>
      </w:r>
    </w:p>
    <w:p>
      <w:pPr>
        <w:pStyle w:val="[Normal]"/>
        <w:spacing w:line="360" w:lineRule="auto"/>
        <w:ind w:firstLine="1134"/>
        <w:jc w:val="both"/>
        <w:rPr>
          <w:lang w:val="es-AR" w:eastAsia="es-AR" w:bidi="es-AR"/>
        </w:rPr>
      </w:pPr>
      <w:r>
        <w:rPr>
          <w:lang w:val="es-AR" w:eastAsia="es-AR" w:bidi="es-AR"/>
        </w:rPr>
        <w:t xml:space="preserve">Conferido el traslado pertinente a la contraparte, contesta en fecha 3/02/2021, solicitando en definitiva se ratifique la sentencia de primera instancia en lo apelado con costas al actor</w:t>
      </w:r>
    </w:p>
    <w:p>
      <w:pPr>
        <w:pStyle w:val="[Normal]"/>
        <w:spacing w:line="360" w:lineRule="auto"/>
        <w:ind w:firstLine="1134"/>
        <w:jc w:val="both"/>
        <w:rPr>
          <w:lang w:val="es-AR" w:eastAsia="es-AR" w:bidi="es-AR"/>
        </w:rPr>
      </w:pPr>
      <w:r>
        <w:rPr>
          <w:lang w:val="es-AR" w:eastAsia="es-AR" w:bidi="es-AR"/>
        </w:rPr>
        <w:t xml:space="preserve">Elevados los autos a ésta Alzada el 10/02/2021, se llama autos para resolver, providencia que habiendo adquirido firmeza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Ya en tarea, entiendo que no es acertada la postura del recurrente por cuanto el mismo no ha sido quien los presentara en la entidad girada para su cobro o depósito, en oportunidad del rechazo habido por falta de fondos suficientes, por lo que quien realizó dicha actividad en el caso que nos ocupa, (en este caso Electronica Junín S.A.) cerró la cadena de endosos. Así lo establece la Com. A 2329 del B.C.R.A., punto 1.3.4.1.: .</w:t>
      </w:r>
    </w:p>
    <w:p>
      <w:pPr>
        <w:pStyle w:val="[Normal]"/>
        <w:spacing w:line="360" w:lineRule="auto"/>
        <w:ind w:firstLine="1134"/>
        <w:jc w:val="both"/>
        <w:rPr>
          <w:lang w:val="es-AR" w:eastAsia="es-AR" w:bidi="es-AR"/>
        </w:rPr>
      </w:pPr>
      <w:r>
        <w:rPr>
          <w:lang w:val="es-AR" w:eastAsia="es-AR" w:bidi="es-AR"/>
        </w:rPr>
        <w:t xml:space="preserve">Y, sobre el tema en cuestión he tenido oportunidad de expedirme en similar cuestión traída en otro proceso en el que señalé: "</w:t>
      </w:r>
      <w:r>
        <w:rPr>
          <w:i/>
          <w:lang w:val="es-AR" w:eastAsia="es-AR" w:bidi="es-AR"/>
        </w:rPr>
        <w:t xml:space="preserve">La firma a insertarse en un cheque al sólo efecto de su cobro o depósito, valdrá como recibo por lo cual no se computará como endoso. El presentante a quien se le rechazara "... fija en sí la propiedad de la cartular ante dicha institución, por lo que quien pretende estar legitimado a los fines de perseguir su cobro por vía judicial, debe figurar en tal cadena, sea entremedio sea al final de la misma como depositante (cfr. CC0100 SN 7491 RSD-171-5, 16/08/2005) y "...de existir traspasos ulteriores, la investidura de su portador deberá emanar de la constancia, cartular o extracartular, en la que conste la cesión a su favor del título por el último tenedor legitimado al cobro ante la girada (cfr. CC0001 QL 8175 RSI-118-5 I 21/06/2005).-  En suma, la firma al dorso del cheque, seguida por el rechazo bancario, sólo vale como recibo y no media posibilidad de nueva transmisión, que no sea con el alcance del art. 22 de la ley 24.452, que establece que “el endoso posterior a la presentación al cobro y rechazo del cheque por el banco girado produce los efectos de la cesión de créditos."  En fallo que tratara un supuesto análogo, se resolvió que "...Debe quedar en claro que la firma puesta al dorso de un cheque no es por ello necesariamente un endoso cambiario y lo único que tiene en común con ese acto cambiario es la ubicación y ello, ”per se”, no puede cambiar la naturaleza de las cosas."... "Sólo queda una posibilidad para considerarlo (al tenedor) legitimado activamente. Esta es de encasillarlo en la figura de la cesión de créditos... (y) la forma escrita prevista en el art. 1454 del C.C. resulta insoslayable... si el ejecutante presenta un cheque librado a la orden de una persona determinada y respecto al cual no reviste la condición de endosatario, corresponde interpretar que lo hace en calidad de cesionario sólo en el supuesto de que a continuación de la constancia del rechazo bancario, el beneficiario lo haya suscripto como prueba de su voluntad de cederlo. Por lo tanto, no siendo posible asignar la calidad de cesionario al simple tenedor del cheque emitido a la orden, corresponde acoger la inhabilidad del título fundada en la falta de legitimación activa.”- confr. C. Civ. Com. Neuquen, sala I, Expte. Nº 663 -CA-98.,  con cita Cám.CyC MP, causa 1264</w:t>
      </w:r>
      <w:r>
        <w:rPr>
          <w:lang w:val="es-AR" w:eastAsia="es-AR" w:bidi="es-AR"/>
        </w:rPr>
        <w:t xml:space="preserve">) (Mi Voto en autos  N° 2667-16 caratulados "PETRI JORGE LUIS BENJAMIN C/ ROSSINI JOSE LUIS Y OTRO/A S/COBRO EJECUTIVO", del 24 de  Noviembre de 2016,Registro N° .112../2016).- </w:t>
      </w:r>
    </w:p>
    <w:p>
      <w:pPr>
        <w:pStyle w:val="[Normal]"/>
        <w:spacing w:line="360" w:lineRule="auto"/>
        <w:ind w:firstLine="1134"/>
        <w:jc w:val="both"/>
        <w:rPr>
          <w:lang w:val="es-AR" w:eastAsia="es-AR" w:bidi="es-AR"/>
        </w:rPr>
      </w:pPr>
      <w:r>
        <w:rPr>
          <w:lang w:val="es-AR" w:eastAsia="es-AR" w:bidi="es-AR"/>
        </w:rPr>
        <w:t xml:space="preserve">En nuestro caso, el cheque de pago diferido cuya inhabilidad se decidiera en la anterior instancia, se encuentra librado en favor de una persona determinada -Electricidad JUNIN S.A.-, que fuera presentado ante entidad bancaria, quien lo  rechazó por falta de fondos suficientes acreditados en la cuenta del librador (ver fs. 14). Pasaron luego a manos de un tercero, el aquí accionante -Sr.Juan Carlos Gallese-, quien como destaca el A-quo, no figura en la cadena de endosos, tampoco como presentante para su depósito o cobro ni resulta beneficiario de una cesión de tales títulos, posterior a los rechazos.-</w:t>
      </w:r>
    </w:p>
    <w:p>
      <w:pPr>
        <w:pStyle w:val="[Normal]"/>
        <w:spacing w:line="360" w:lineRule="auto"/>
        <w:ind w:firstLine="1134"/>
        <w:jc w:val="both"/>
        <w:rPr>
          <w:lang w:val="es-AR" w:eastAsia="es-AR" w:bidi="es-AR"/>
        </w:rPr>
      </w:pPr>
      <w:r>
        <w:rPr>
          <w:lang w:val="es-AR" w:eastAsia="es-AR" w:bidi="es-AR"/>
        </w:rPr>
        <w:t xml:space="preserve">El recurrente refiere a que las únicas defensa oponibles por el deudor son las que enumera taxativamente el art. 1821 del Cgo. Civ. y Com. y entre ellas precisamente esta las que "... se derivan de la falta de legitimación del portador", y eso es precisamente lo que ha ocurrido en el presente.-</w:t>
      </w:r>
    </w:p>
    <w:p>
      <w:pPr>
        <w:pStyle w:val="[Normal]"/>
        <w:spacing w:line="360" w:lineRule="auto"/>
        <w:ind w:firstLine="1134"/>
        <w:jc w:val="both"/>
        <w:rPr>
          <w:lang w:val="es-AR" w:eastAsia="es-AR" w:bidi="es-AR"/>
        </w:rPr>
      </w:pPr>
      <w:r>
        <w:rPr>
          <w:lang w:val="es-AR" w:eastAsia="es-AR" w:bidi="es-AR"/>
        </w:rPr>
        <w:t xml:space="preserve">Estimo en consecuencia, que corresponde confirmar el fallo apelado, por no hallarse aquél debidamente legitimado para ejercer la acción cambiaria respectiva (arts. 12, 14, 15, 17, 22, 54 y 56 Ley N° 24.452).-</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Costas a la apelante que resulta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una vez este la causa en condiciones para ello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Costas a la apelante que resulta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una vez este la causa en condiciones para ello (Art. 31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20221054742@NOTIFICACIONES.SCBA.GOV.AR</w:t>
      </w:r>
    </w:p>
    <w:p>
      <w:pPr>
        <w:pStyle w:val="[Normal]"/>
        <w:rPr>
          <w:color w:val="000000"/>
          <w:lang w:val="es-AR" w:eastAsia="es-AR" w:bidi="es-AR"/>
        </w:rPr>
      </w:pPr>
      <w:r>
        <w:rPr>
          <w:color w:val="000000"/>
          <w:lang w:val="es-AR" w:eastAsia="es-AR" w:bidi="es-AR"/>
        </w:rPr>
        <w:t xml:space="preserve">20046825781@NOTIFICACIONES.SCBA.GOV.AR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10:06:46 -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10:29:34 -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10:38:30 -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10:49:55 -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20046825781@NOTIFICACIONES.SCBA.GOV.AR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20221054742@NOTIFICACIONES.SCBA.GOV.AR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‰6|")è%-36èŠ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229202090005131922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146"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4180 - 21 - GALLESE JUAN CARLOS  C/ CURINI MARIAN LILIANA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‰6|")è%-36èŠ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229202090005131922</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