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35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173/176</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6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4202-21</w:t>
      </w:r>
      <w:r>
        <w:rPr>
          <w:lang w:val="es-AR" w:eastAsia="es-AR" w:bidi="es-AR"/>
        </w:rPr>
        <w:t xml:space="preserve"> caratulada </w:t>
      </w:r>
      <w:r>
        <w:rPr>
          <w:b/>
          <w:lang w:val="es-AR" w:eastAsia="es-AR" w:bidi="es-AR"/>
        </w:rPr>
        <w:t xml:space="preserve">"</w:t>
      </w:r>
      <w:r>
        <w:rPr>
          <w:b/>
          <w:color w:val="000000"/>
          <w:lang w:val="es-AR" w:eastAsia="es-AR" w:bidi="es-AR"/>
        </w:rPr>
        <w:t xml:space="preserve">BANCO DE LA PROVINCIA DE BUENOS AIRES C/ AYALA, SILVIA RENATA S/ COBRO EJECUTIVO (12)</w:t>
      </w:r>
      <w:r>
        <w:rPr>
          <w:b/>
          <w:lang w:val="es-AR" w:eastAsia="es-AR" w:bidi="es-AR"/>
        </w:rPr>
        <w:t xml:space="preserve">"</w:t>
      </w:r>
      <w:r>
        <w:rPr>
          <w:lang w:val="es-AR" w:eastAsia="es-AR" w:bidi="es-AR"/>
        </w:rPr>
        <w:t xml:space="preserve">, Expte. N° </w:t>
      </w:r>
      <w:r>
        <w:rPr>
          <w:color w:val="000000"/>
          <w:lang w:val="es-AR" w:eastAsia="es-AR" w:bidi="es-AR"/>
        </w:rPr>
        <w:t xml:space="preserve">54.275</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GRACIELA SCARAFFIA, ROBERTO DEGELUE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Sr. juez de la instancia anterior dictó sentencia de trance y remate en las presentes actuaciones y mandó  llevar adelante la ejecución hasta tanto la ejecutada AYALA SILVIA RENATA haga al acreedor BANCO DE LA PROVINCIA DE BUENOS AIRES íntegro pago del capital reclamado, de PESOS PESOS CINCO MIL CUATROCIENTOS DIECINUEVE CON 27/100 ($5.419,27) , con  más  sus  intereses calculados  conforme  a la tasa que percibe el Banco Pcia. de Bs. As. en sus operaciones normales de descuento a partir de la fecha de la mora (notificación de demanda): 29-09-20 -Cfr. Excma. Cámara Departamental C-4506/2002 "B.I.D. Coop. Ltdo. c/SANCHEZ Teresa L. s/ Cobro ejecutivo de pesos", Reg. Nº  11; 20-02-03 )(ver informe del aviso de retorno).  Le impuso  las costas de la ejecución y  difirió  la regulación de honorarios del letrado  interviniente  hasta  que  obre  en autos liquidación firme.</w:t>
      </w:r>
    </w:p>
    <w:p>
      <w:pPr>
        <w:pStyle w:val="[Normal]"/>
        <w:spacing w:line="360" w:lineRule="auto"/>
        <w:ind w:firstLine="1134"/>
        <w:jc w:val="both"/>
        <w:rPr>
          <w:lang w:val="es-AR" w:eastAsia="es-AR" w:bidi="es-AR"/>
        </w:rPr>
      </w:pPr>
      <w:r>
        <w:rPr>
          <w:lang w:val="es-AR" w:eastAsia="es-AR" w:bidi="es-AR"/>
        </w:rPr>
        <w:t xml:space="preserve">La sentencia fue recurrida por la parte actora mediante presentación electrónica de fecha 15/12/2020, allegando el memorial en 29 / 12 / 2020  del que se corrió  traslado a la ejecutada y no habiendo ésta respondido es elevado a esta Instancia  y en fecha 16 de Marzo de 2021, se ordena  pasar los presentes autos para resolver (art. 270 CPCC) providencia  que  firme a la fecha deja a la causa en condiciones de ser fallada.</w:t>
      </w:r>
    </w:p>
    <w:p>
      <w:pPr>
        <w:pStyle w:val="[Normal]"/>
        <w:spacing w:line="360" w:lineRule="auto"/>
        <w:ind w:firstLine="1134"/>
        <w:jc w:val="both"/>
        <w:rPr>
          <w:b/>
          <w:lang w:val="es-AR" w:eastAsia="es-AR" w:bidi="es-AR"/>
        </w:rPr>
      </w:pPr>
      <w:r>
        <w:rPr>
          <w:b/>
          <w:u w:val="single"/>
          <w:lang w:val="es-AR" w:eastAsia="es-AR" w:bidi="es-AR"/>
        </w:rPr>
        <w:t xml:space="preserve">Agravios de la parte Actora:</w:t>
      </w:r>
    </w:p>
    <w:p>
      <w:pPr>
        <w:pStyle w:val="[Normal]"/>
        <w:spacing w:line="360" w:lineRule="auto"/>
        <w:ind w:firstLine="1134"/>
        <w:jc w:val="both"/>
        <w:rPr>
          <w:b/>
          <w:lang w:val="es-AR" w:eastAsia="es-AR" w:bidi="es-AR"/>
        </w:rPr>
      </w:pPr>
      <w:r>
        <w:rPr>
          <w:lang w:val="es-AR" w:eastAsia="es-AR" w:bidi="es-AR"/>
        </w:rPr>
        <w:t xml:space="preserve">Se agravia la parte apelante, por cuanto en sentencia se determinó como fecha del inicio del cómputo de la mora la de la notificación de la demanda  en “29-09-20” y no la que surge del certificado del saldo deudor de la cuenta corriente de 22 / 08 / 2008, lo que le irroga la pérdida de intereses de doce años en detrimento de su capital.</w:t>
      </w:r>
    </w:p>
    <w:p>
      <w:pPr>
        <w:pStyle w:val="[Normal]"/>
        <w:spacing w:line="360" w:lineRule="auto"/>
        <w:ind w:firstLine="1134"/>
        <w:jc w:val="both"/>
        <w:rPr>
          <w:lang w:val="es-AR" w:eastAsia="es-AR" w:bidi="es-AR"/>
        </w:rPr>
      </w:pPr>
      <w:r>
        <w:rPr>
          <w:lang w:val="es-AR" w:eastAsia="es-AR" w:bidi="es-AR"/>
        </w:rPr>
        <w:t xml:space="preserve">Dice también,  que en  fecha 26/08/2008</w:t>
      </w:r>
      <w:r>
        <w:rPr>
          <w:b/>
          <w:lang w:val="es-AR" w:eastAsia="es-AR" w:bidi="es-AR"/>
        </w:rPr>
        <w:t xml:space="preserve"> </w:t>
      </w:r>
      <w:r>
        <w:rPr>
          <w:lang w:val="es-AR" w:eastAsia="es-AR" w:bidi="es-AR"/>
        </w:rPr>
        <w:t xml:space="preserve">fue notificada la Sra Ayala mediante carta documento del cierre de la cuenta corriente. Si bien en su recepción figura que se mudó, es carga de la Sra Ayala informar fehacientemente el nuevo domicilio a su parte.</w:t>
      </w:r>
    </w:p>
    <w:p>
      <w:pPr>
        <w:pStyle w:val="[Normal]"/>
        <w:spacing w:line="360" w:lineRule="auto"/>
        <w:ind w:firstLine="1134"/>
        <w:jc w:val="both"/>
        <w:rPr>
          <w:lang w:val="es-AR" w:eastAsia="es-AR" w:bidi="es-AR"/>
        </w:rPr>
      </w:pPr>
      <w:r>
        <w:rPr>
          <w:lang w:val="es-AR" w:eastAsia="es-AR" w:bidi="es-AR"/>
        </w:rPr>
        <w:t xml:space="preserve">        Entiende que resulta de aplicación  la mora "ex persona", siendo necesaria la interpelación al deudor para lo cual transcribe citas  de jurisprudencia y doctrina que avalan su argumento y que de las   constancias de la causa, surge que luego del cierre de la cuenta corriente, la ejecutada fue interpelada mediante carta documento. Y por ello  considera erróneo  que sea necesario iniciar un juicio para constituir  en mora a la ejecutada y finalmente expresa  que la demora en la traba de la litis no libera de responsabilidad al deudor, ya que conocía la deuda que debía honrar.</w:t>
      </w:r>
    </w:p>
    <w:p>
      <w:pPr>
        <w:pStyle w:val="[Normal]"/>
        <w:spacing w:line="360" w:lineRule="auto"/>
        <w:ind w:firstLine="1134"/>
        <w:jc w:val="both"/>
        <w:rPr>
          <w:lang w:val="es-AR" w:eastAsia="es-AR" w:bidi="es-AR"/>
        </w:rPr>
      </w:pPr>
      <w:r>
        <w:rPr>
          <w:lang w:val="es-AR" w:eastAsia="es-AR" w:bidi="es-AR"/>
        </w:rPr>
        <w:t xml:space="preserve">Por ello, solicita  que se haga lugar al presente recurso.</w:t>
      </w:r>
    </w:p>
    <w:p>
      <w:pPr>
        <w:pStyle w:val="[Normal]"/>
        <w:spacing w:line="360" w:lineRule="auto"/>
        <w:ind w:firstLine="1134"/>
        <w:jc w:val="both"/>
        <w:rPr>
          <w:lang w:val="es-AR" w:eastAsia="es-AR" w:bidi="es-AR"/>
        </w:rPr>
      </w:pPr>
      <w:r>
        <w:rPr>
          <w:lang w:val="es-AR" w:eastAsia="es-AR" w:bidi="es-AR"/>
        </w:rPr>
        <w:t xml:space="preserve">Ya en tarea de decidir adelanto  la opinión que no lleva razón la apelante</w:t>
      </w:r>
    </w:p>
    <w:p>
      <w:pPr>
        <w:pStyle w:val="[Normal]"/>
        <w:spacing w:line="360" w:lineRule="auto"/>
        <w:ind w:firstLine="1134"/>
        <w:jc w:val="both"/>
        <w:rPr>
          <w:lang w:val="es-AR" w:eastAsia="es-AR" w:bidi="es-AR"/>
        </w:rPr>
      </w:pPr>
      <w:r>
        <w:rPr>
          <w:lang w:val="es-AR" w:eastAsia="es-AR" w:bidi="es-AR"/>
        </w:rPr>
        <w:t xml:space="preserve">En efecto,  no hay cuestionamiento en punto a que, en el caso de la cuenta corriente bancaria, es de aplicación la mora " ex persona " y no la " ex re ", para lo cual es necesario el requerimiento  personal y así las cosas  la cuestión  ha quedado ceñida a determinar si la interpelación  efectuada mediante carta documento ha sido válida o no.</w:t>
      </w:r>
    </w:p>
    <w:p>
      <w:pPr>
        <w:pStyle w:val="[Normal]"/>
        <w:spacing w:line="360" w:lineRule="auto"/>
        <w:ind w:firstLine="1134"/>
        <w:jc w:val="both"/>
        <w:rPr>
          <w:lang w:val="es-AR" w:eastAsia="es-AR" w:bidi="es-AR"/>
        </w:rPr>
      </w:pPr>
      <w:r>
        <w:rPr>
          <w:lang w:val="es-AR" w:eastAsia="es-AR" w:bidi="es-AR"/>
        </w:rPr>
        <w:t xml:space="preserve">Que, de las constancias de la causa se observa que  el Banco actor, en fecha 22 / 08 / 2008, certificó por medio del Gerente y Contador, que la cuenta corriente N° 50292/6 de titularidad de la ejecutada de autos Silvia Renata Ayalla,  arroja un saldo deudor por la suma de $ 5.419, 27. ( fs. 29 ).</w:t>
      </w:r>
    </w:p>
    <w:p>
      <w:pPr>
        <w:pStyle w:val="[Normal]"/>
        <w:spacing w:line="360" w:lineRule="auto"/>
        <w:ind w:firstLine="1134"/>
        <w:jc w:val="both"/>
        <w:rPr>
          <w:lang w:val="es-AR" w:eastAsia="es-AR" w:bidi="es-AR"/>
        </w:rPr>
      </w:pPr>
      <w:r>
        <w:rPr>
          <w:lang w:val="es-AR" w:eastAsia="es-AR" w:bidi="es-AR"/>
        </w:rPr>
        <w:t xml:space="preserve">Que, en la solicitud de apertura de la cuenta corriente, la demandada denunció  su domicilio real  en la calle Bartolomé Mitre N° 948 de esta ciudad de Pergamino ( ver. fs. 30 ).</w:t>
      </w:r>
    </w:p>
    <w:p>
      <w:pPr>
        <w:pStyle w:val="[Normal]"/>
        <w:spacing w:line="360" w:lineRule="auto"/>
        <w:ind w:firstLine="1134"/>
        <w:jc w:val="both"/>
        <w:rPr>
          <w:lang w:val="es-AR" w:eastAsia="es-AR" w:bidi="es-AR"/>
        </w:rPr>
      </w:pPr>
      <w:r>
        <w:rPr>
          <w:lang w:val="es-AR" w:eastAsia="es-AR" w:bidi="es-AR"/>
        </w:rPr>
        <w:t xml:space="preserve">Que, mediante carta documento dirigida a dicho domicilio  ( copia glosada a fs. 32 ), se la ponía  en conocimiento del saldo deudor de su cuenta y se la intimó para que en el plazo de 48 hs., proceda a la devolución de las chequeras y a cubrir lo adeudado.</w:t>
      </w:r>
    </w:p>
    <w:p>
      <w:pPr>
        <w:pStyle w:val="[Normal]"/>
        <w:spacing w:line="360" w:lineRule="auto"/>
        <w:ind w:firstLine="1134"/>
        <w:jc w:val="both"/>
        <w:rPr>
          <w:lang w:val="es-AR" w:eastAsia="es-AR" w:bidi="es-AR"/>
        </w:rPr>
      </w:pPr>
      <w:r>
        <w:rPr>
          <w:lang w:val="es-AR" w:eastAsia="es-AR" w:bidi="es-AR"/>
        </w:rPr>
        <w:t xml:space="preserve">Empero, la misiva es informada  en su reverso por el notificador del correo, quien expresa  que la Sra. Ayala se mudó de residencia y lo mismo hace saber el Oficial Notificador del Poder Judicial, cuando diligencia el mandamiento de intimación de pago y embargo en el mismo domicilio  de la calle Bartolomé Mitre N° 948,  cuando al efecto deja constancia que "... la requerida no vive más allí desde hace más de un año aproximadamente... " ( sic. fs. 45 ).</w:t>
      </w:r>
    </w:p>
    <w:p>
      <w:pPr>
        <w:pStyle w:val="[Normal]"/>
        <w:spacing w:line="360" w:lineRule="auto"/>
        <w:ind w:firstLine="1134"/>
        <w:jc w:val="both"/>
        <w:rPr>
          <w:lang w:val="es-AR" w:eastAsia="es-AR" w:bidi="es-AR"/>
        </w:rPr>
      </w:pPr>
      <w:r>
        <w:rPr>
          <w:lang w:val="es-AR" w:eastAsia="es-AR" w:bidi="es-AR"/>
        </w:rPr>
        <w:t xml:space="preserve">En función de ello, la misma parte ejecutante solicita que la cédula de notificación de la traba de la cautelar sea diligenciada en  el domicilio en la calle San Nicolás 393 Local 5 / 4 ( fs. 47 ). Nuevamente el Oficial Notificador, informa que  "... la persona requerida habría sido dueña de un negocio en uno de los locales mencionados en la presente, pero que actualmente ya no alquilaría ningún local en el shopping... " ( sic. fs. 50 ).</w:t>
      </w:r>
    </w:p>
    <w:p>
      <w:pPr>
        <w:pStyle w:val="[Normal]"/>
        <w:spacing w:line="360" w:lineRule="auto"/>
        <w:ind w:firstLine="1134"/>
        <w:jc w:val="both"/>
        <w:rPr>
          <w:lang w:val="es-AR" w:eastAsia="es-AR" w:bidi="es-AR"/>
        </w:rPr>
      </w:pPr>
      <w:r>
        <w:rPr>
          <w:lang w:val="es-AR" w:eastAsia="es-AR" w:bidi="es-AR"/>
        </w:rPr>
        <w:t xml:space="preserve">Luego, a pedido de la parte actora se solicita el libramiento de oficios a distintas Reparticiones a los fines de conocer el domicilio de la ejecutada y  peticiona que se diligencie el mandamiento de intimación de pago y embargo en el domicilio de la Ruta 188 N° 2694 bajo  responsabilidad de su  parte. Cumplida la diligencia,  el Oficial Notificador informa que no es atendido por persona alguna y procedió a fijar el duplicado del mandamiento "... bajo la puerta principal ( Portón negro de chapa ) de la vivienda bajo responsabilidad de la parte actora ..." ( sic fs. 82 ).</w:t>
      </w:r>
    </w:p>
    <w:p>
      <w:pPr>
        <w:pStyle w:val="[Normal]"/>
        <w:spacing w:line="360" w:lineRule="auto"/>
        <w:ind w:firstLine="1134"/>
        <w:jc w:val="both"/>
        <w:rPr>
          <w:lang w:val="es-AR" w:eastAsia="es-AR" w:bidi="es-AR"/>
        </w:rPr>
      </w:pPr>
      <w:r>
        <w:rPr>
          <w:lang w:val="es-AR" w:eastAsia="es-AR" w:bidi="es-AR"/>
        </w:rPr>
        <w:t xml:space="preserve">A fs. 83 / 84 se glosa un mandamiento de pago y embargo al mismo domicilio de la Ruta 188 N° 2694 donde el Oficial Notificador manifiesta que  no es atendido por persona alguna y preguntado a los vecinos se le informa que la requerida no vive más allí ( fecha 29 de julio de 2020 ).</w:t>
      </w:r>
    </w:p>
    <w:p>
      <w:pPr>
        <w:pStyle w:val="[Normal]"/>
        <w:spacing w:line="360" w:lineRule="auto"/>
        <w:ind w:firstLine="1134"/>
        <w:jc w:val="both"/>
        <w:rPr>
          <w:lang w:val="es-AR" w:eastAsia="es-AR" w:bidi="es-AR"/>
        </w:rPr>
      </w:pPr>
      <w:r>
        <w:rPr>
          <w:lang w:val="es-AR" w:eastAsia="es-AR" w:bidi="es-AR"/>
        </w:rPr>
        <w:t xml:space="preserve">Luego en fecha  01 / 12 / 2020, la accionante se presenta y dice que "...  </w:t>
      </w:r>
      <w:r>
        <w:rPr>
          <w:i/>
          <w:lang w:val="es-AR" w:eastAsia="es-AR" w:bidi="es-AR"/>
        </w:rPr>
        <w:t xml:space="preserve">atento el estado de autos, que con fecha 29/9/20 ha vuelto notificado el mandamiento de intimación de pago, no habiéndose la demandada presentado en autos, solicito a Vs. tenga a bien dictar sentencia conforme las pautas del escrito de demanda</w:t>
      </w:r>
      <w:r>
        <w:rPr>
          <w:lang w:val="es-AR" w:eastAsia="es-AR" w:bidi="es-AR"/>
        </w:rPr>
        <w:t xml:space="preserve">...". El acto de notificación fue realizado en Ruta 188 N° 2694. El pedimento, motivó el dictado de la sentencia de trance y remate para lo cual  el juzgado entendió que la ejecutada se  hallaba debidamente notificada en el mencionado domicilio.</w:t>
      </w:r>
    </w:p>
    <w:p>
      <w:pPr>
        <w:pStyle w:val="[Normal]"/>
        <w:spacing w:line="360" w:lineRule="auto"/>
        <w:ind w:firstLine="1134"/>
        <w:jc w:val="both"/>
        <w:rPr>
          <w:lang w:val="es-AR" w:eastAsia="es-AR" w:bidi="es-AR"/>
        </w:rPr>
      </w:pPr>
      <w:r>
        <w:rPr>
          <w:lang w:val="es-AR" w:eastAsia="es-AR" w:bidi="es-AR"/>
        </w:rPr>
        <w:t xml:space="preserve">Estos son los antecedentes que informan a la causa y se advierte de su desarrollo, que la apelante entendió que la ejecutada no se domiciliaba más en   aquél domicilio real inicial de la calle Bartolomé Mitre N° 948  ( en razón de la mudanza denunciada ). Y, en tal entendimiento solicitó medidas para conocer el paradero de la ejecutada e intimar de pago y embargo y notificar cautelares  en otros domicilios que  fue  denunciando.</w:t>
      </w:r>
    </w:p>
    <w:p>
      <w:pPr>
        <w:pStyle w:val="[Normal]"/>
        <w:spacing w:line="360" w:lineRule="auto"/>
        <w:ind w:firstLine="1134"/>
        <w:jc w:val="both"/>
        <w:rPr>
          <w:lang w:val="es-AR" w:eastAsia="es-AR" w:bidi="es-AR"/>
        </w:rPr>
      </w:pPr>
      <w:r>
        <w:rPr>
          <w:lang w:val="es-AR" w:eastAsia="es-AR" w:bidi="es-AR"/>
        </w:rPr>
        <w:t xml:space="preserve">Ello fue así, hasta intimar de pago y embargo bajo su responsabilidad en la Ruta 188 N° 2694, por lo que ahora pretender tener por cumplida la interpelación por carta documento en otro domicilio deviene impropio importando ello una dualidad inadmisible en derecho. Máxime aún que la misiva no cumplió su cometido por cuanto no fue entregada  por la mudanza de la ejecutada, por lo tanto la pretensión  recursiva importa contradecirse por propios actos jurídicamente relevantes.</w:t>
      </w:r>
    </w:p>
    <w:p>
      <w:pPr>
        <w:pStyle w:val="[Normal]"/>
        <w:spacing w:line="360" w:lineRule="auto"/>
        <w:ind w:firstLine="1134"/>
        <w:jc w:val="both"/>
        <w:rPr>
          <w:lang w:val="es-AR" w:eastAsia="es-AR" w:bidi="es-AR"/>
        </w:rPr>
      </w:pPr>
      <w:r>
        <w:rPr>
          <w:lang w:val="es-AR" w:eastAsia="es-AR" w:bidi="es-AR"/>
        </w:rPr>
        <w:t xml:space="preserve">Es que, si la parte apelante entendía que el domicilio constituido en el contrato era válido a los efectos de la relación contractual y  a las  consecuencias que derivan de ella, como es este proceso, debió hacerlo valer en aquella primera oportunidad y resuelto ello, peticionar de conformidad. Y, ello no aconteció.</w:t>
      </w:r>
    </w:p>
    <w:p>
      <w:pPr>
        <w:pStyle w:val="[Normal]"/>
        <w:spacing w:line="360" w:lineRule="auto"/>
        <w:ind w:firstLine="1134"/>
        <w:jc w:val="both"/>
        <w:rPr>
          <w:lang w:val="es-AR" w:eastAsia="es-AR" w:bidi="es-AR"/>
        </w:rPr>
      </w:pPr>
      <w:r>
        <w:rPr>
          <w:lang w:val="es-AR" w:eastAsia="es-AR" w:bidi="es-AR"/>
        </w:rPr>
        <w:t xml:space="preserve">Entonces el domicilio denunciado como real por la parte ejecutante es el de la Ruta 188 N° 2694 y por ello aquella misiva diligenciada en otro domicilio no importó una  interpelación  para constituir en mora a la ejecutada.</w:t>
      </w:r>
    </w:p>
    <w:p>
      <w:pPr>
        <w:pStyle w:val="[Normal]"/>
        <w:spacing w:line="360" w:lineRule="auto"/>
        <w:ind w:firstLine="1134"/>
        <w:jc w:val="both"/>
        <w:rPr>
          <w:lang w:val="es-AR" w:eastAsia="es-AR" w:bidi="es-AR"/>
        </w:rPr>
      </w:pPr>
      <w:r>
        <w:rPr>
          <w:lang w:val="es-AR" w:eastAsia="es-AR" w:bidi="es-AR"/>
        </w:rPr>
        <w:t xml:space="preserve">Así,  al efecto se ha dicho que: "... el domicilio señalado bajo la responsabilidad de la contraparte se considera como domicilio constituido, según resolución de la Suprema Corte del 10 de julio de 1956, punto VIII que remite al punto II, según interpretación de la misma del 7 ed agosto de 1956... " ( Cám, 2°, Sala II. LP., causa B- 4820, reg. int. 146 / 62. ) Y entonces  "..., debe estarse a las resultas de dicha notificación, mientras no se demuestre por la parte interesada la ineficacia de la misma... " ( Cám. 1°, Sala II. LP., causa 96.162 reg. int. 369/60, Cám. 2° Sala II LP., causa B- 4829 reg. int. 146/62   citados en Morello: " Cods. T. II. A. p. 761 y 766 ).</w:t>
      </w:r>
    </w:p>
    <w:p>
      <w:pPr>
        <w:pStyle w:val="[Normal]"/>
        <w:spacing w:line="360" w:lineRule="auto"/>
        <w:ind w:firstLine="1134"/>
        <w:jc w:val="both"/>
        <w:rPr>
          <w:lang w:val="es-AR" w:eastAsia="es-AR" w:bidi="es-AR"/>
        </w:rPr>
      </w:pPr>
      <w:r>
        <w:rPr>
          <w:lang w:val="es-AR" w:eastAsia="es-AR" w:bidi="es-AR"/>
        </w:rPr>
        <w:t xml:space="preserve">Y siendo ello así el domicilio constituido se reputa subsistente para todos los efectos legales, conforme lo establece el art. 42 CPC.</w:t>
      </w:r>
    </w:p>
    <w:p>
      <w:pPr>
        <w:pStyle w:val="[Normal]"/>
        <w:spacing w:line="360" w:lineRule="auto"/>
        <w:ind w:firstLine="1134"/>
        <w:jc w:val="both"/>
        <w:rPr>
          <w:lang w:val="es-AR" w:eastAsia="es-AR" w:bidi="es-AR"/>
        </w:rPr>
      </w:pPr>
      <w:r>
        <w:rPr>
          <w:lang w:val="es-AR" w:eastAsia="es-AR" w:bidi="es-AR"/>
        </w:rPr>
        <w:t xml:space="preserve">En nuestro sistema legal, la notificación bajo responsabilidad de la parte actora resulta de creación pretoriana y sólo debe aceptarse de modo excepcional. El mandamiento de intimación de pago y embargo ( art. 529 CPC.), tiene diversos efectos, entre los cuales en lo que aquí interesa destacar, importa una citación para oponer excepciones y así ejercer el derecho de defensa y por ello siendo tal acto, equiparable al traslado de la demanda, es   debe practicarse la diligencia  cumpliendo con lo normado por el art. 338 del CPC.</w:t>
      </w:r>
    </w:p>
    <w:p>
      <w:pPr>
        <w:pStyle w:val="[Normal]"/>
        <w:spacing w:line="360" w:lineRule="auto"/>
        <w:ind w:firstLine="1134"/>
        <w:jc w:val="both"/>
        <w:rPr>
          <w:lang w:val="es-AR" w:eastAsia="es-AR" w:bidi="es-AR"/>
        </w:rPr>
      </w:pPr>
      <w:r>
        <w:rPr>
          <w:lang w:val="es-AR" w:eastAsia="es-AR" w:bidi="es-AR"/>
        </w:rPr>
        <w:t xml:space="preserve">Así, al efecto este Tribunal ha dicho que las: "...   Formalidades que se sustentan en el carácter personalísimo de la citación y en la conveniencia de asegurar la validez y eficacia de un acto fundamental del proceso como es el traslado de la demanda, desde que justamente lo que está en juego es el derecho de legítima defensa en juicio de raigambre constitucional (arts. 18 C.N. y 9 C.P.B.A.)..." ( CAP: Expte. N° 2560-15 ).</w:t>
      </w:r>
    </w:p>
    <w:p>
      <w:pPr>
        <w:pStyle w:val="[Normal]"/>
        <w:spacing w:line="360" w:lineRule="auto"/>
        <w:ind w:firstLine="1134"/>
        <w:jc w:val="both"/>
        <w:rPr>
          <w:lang w:val="es-AR" w:eastAsia="es-AR" w:bidi="es-AR"/>
        </w:rPr>
      </w:pPr>
      <w:r>
        <w:rPr>
          <w:lang w:val="es-AR" w:eastAsia="es-AR" w:bidi="es-AR"/>
        </w:rPr>
        <w:t xml:space="preserve">Y, en  "... la modalidad de notificación “ </w:t>
      </w:r>
      <w:r>
        <w:rPr>
          <w:i/>
          <w:u w:val="single"/>
          <w:lang w:val="es-AR" w:eastAsia="es-AR" w:bidi="es-AR"/>
        </w:rPr>
        <w:t xml:space="preserve">bajo responsabilidad </w:t>
      </w:r>
      <w:r>
        <w:rPr>
          <w:lang w:val="es-AR" w:eastAsia="es-AR" w:bidi="es-AR"/>
        </w:rPr>
        <w:t xml:space="preserve">” importa considerar que quien la efectúa asume haber tomado todos los recaudos para establecer que el demandado vive en ese domicilio”, por lo que “reposa sobre el actor la carga de demostrar que el lugar en el que notificó la demanda se encontraba la residencia habitual del demandado o que, al menos, tomó todos los recaudos a su alcance a llegar a esa conclusión (art. 377 del CPCC.)..." (  Cámara Nacional de Apelaciones en lo Civil  autos caratulados “ Del Vecchio, Norma Susana c/ Fernández, Adriana Beatriz y otro s/ Desalojo: intrusos ).</w:t>
      </w:r>
    </w:p>
    <w:p>
      <w:pPr>
        <w:pStyle w:val="[Normal]"/>
        <w:spacing w:line="360" w:lineRule="auto"/>
        <w:ind w:firstLine="1134"/>
        <w:jc w:val="both"/>
        <w:rPr>
          <w:lang w:val="es-AR" w:eastAsia="es-AR" w:bidi="es-AR"/>
        </w:rPr>
      </w:pPr>
      <w:r>
        <w:rPr>
          <w:lang w:val="es-AR" w:eastAsia="es-AR" w:bidi="es-AR"/>
        </w:rPr>
        <w:t xml:space="preserve">Así las cosas, habiendo la parte actora tomado los recaudos necesarios para determinar que  el domicilio de la ejecutada es en la Ruta 188 N° 2694 en el que se trabó la litis, no puede pretender ahora remitirse a un domicilio anterior en el que cursó la misiva que por otro lado se informó que la requerida se había mudado y con ello la prueba que nunca fue interpelada.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ROBERTO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en un todo el auto apelado. Sin costas por no existir contradictorio ( art. 68 CPC.).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ROBERTO DEGELUE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en un todo el auto apelado. Sin costas por no existir contradictorio ( art. 68 CPC.).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27300896621@BAPRO.NOTIFICACIONES</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06/04/2021 09:49:06 -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06/04/2021 09:57:50 -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06/04/2021 10:12:22 -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06/04/2021 10:52:13 -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27300896621@BAPRO.NOTIFICACIONES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‰7N")è%-\kÁŠ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234602090005136075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4202 - 21 - BANCO DE LA PROVINCIA DE BUENOS AIRES C/ AYALA, SILVIA RENATA S/ COBRO EJECUTIVO (12)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‰7N")è%-\kÁŠ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234602090005136075</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