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46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223/227</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4207-21</w:t>
      </w:r>
      <w:r>
        <w:rPr>
          <w:lang w:val="es-AR" w:eastAsia="es-AR" w:bidi="es-AR"/>
        </w:rPr>
        <w:t xml:space="preserve"> caratulada </w:t>
      </w:r>
      <w:r>
        <w:rPr>
          <w:b/>
          <w:lang w:val="es-AR" w:eastAsia="es-AR" w:bidi="es-AR"/>
        </w:rPr>
        <w:t xml:space="preserve">"</w:t>
      </w:r>
      <w:r>
        <w:rPr>
          <w:b/>
          <w:color w:val="000000"/>
          <w:lang w:val="es-AR" w:eastAsia="es-AR" w:bidi="es-AR"/>
        </w:rPr>
        <w:t xml:space="preserve">ZUCCARINI, ROBERTINO DANIEL C/ CHULIVER, JORGE ENRIQUE S/ COBRO EJECUTIVO</w:t>
      </w:r>
      <w:r>
        <w:rPr>
          <w:b/>
          <w:lang w:val="es-AR" w:eastAsia="es-AR" w:bidi="es-AR"/>
        </w:rPr>
        <w:t xml:space="preserve">"</w:t>
      </w:r>
      <w:r>
        <w:rPr>
          <w:lang w:val="es-AR" w:eastAsia="es-AR" w:bidi="es-AR"/>
        </w:rPr>
        <w:t xml:space="preserve">, Expte. N° </w:t>
      </w:r>
      <w:r>
        <w:rPr>
          <w:color w:val="000000"/>
          <w:lang w:val="es-AR" w:eastAsia="es-AR" w:bidi="es-AR"/>
        </w:rPr>
        <w:t xml:space="preserve">34835</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Paz de Colón</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señora Jueza de la primera instancia rechazó la excepción de falsedad opuesta por el demandado. Mandó llevar adelante la ejecución hasta tanto el ejecutado JORGE ENRIQUE CHULIVER haga al acreedor ROBERTINO DANIEL ZUCCARINI íntegro pago del capital reclamado, de DOLARES ESTADOUNIDENSES DOS MIL TRESCIENTOS (U$2300.--), con más sus intereses calculados a partir de la fecha de la mora operada el: 10/04/2014, 10/05/2014, 10/06/2014, 10/07/2014 y 10/08/2014, al tipo que cobre el Banco de la Provincia de Bs. As. en sus operaciones a 30 días -tasa activa- vigentes en los distintos períodos de aplicación, en la moneda mencionada, con más las costas de la ejecución. Y, difirió la regulación de honorarios del letrado interviniente hasta que obre en autos liquidación firme (Art. 51 Ley 8904).</w:t>
      </w:r>
    </w:p>
    <w:p>
      <w:pPr>
        <w:pStyle w:val="[Normal]"/>
        <w:spacing w:line="360" w:lineRule="auto"/>
        <w:ind w:firstLine="1134"/>
        <w:jc w:val="both"/>
        <w:rPr>
          <w:lang w:val="es-AR" w:eastAsia="es-AR" w:bidi="es-AR"/>
        </w:rPr>
      </w:pPr>
      <w:r>
        <w:rPr>
          <w:lang w:val="es-AR" w:eastAsia="es-AR" w:bidi="es-AR"/>
        </w:rPr>
        <w:t xml:space="preserve">Dicho decisorio fue objeto del recurso de apelación interpuesto por la demandada el 16/10/2020, concedido el 21/10/2020 y fundada el 29/10/2020. En fecha 9/11/2020 es ordenado el pertinente traslado siendo contestado por la contraparte el 19/11/2020.</w:t>
      </w:r>
    </w:p>
    <w:p>
      <w:pPr>
        <w:pStyle w:val="[Normal]"/>
        <w:spacing w:line="360" w:lineRule="auto"/>
        <w:ind w:firstLine="1134"/>
        <w:jc w:val="both"/>
        <w:rPr>
          <w:lang w:val="es-AR" w:eastAsia="es-AR" w:bidi="es-AR"/>
        </w:rPr>
      </w:pPr>
      <w:r>
        <w:rPr>
          <w:lang w:val="es-AR" w:eastAsia="es-AR" w:bidi="es-AR"/>
        </w:rPr>
        <w:t xml:space="preserve">Arribados los autos a esta instancia, en fecha 18/03/2021 se dicta la providencia de autos para sentencia, que firme a la fecha la deja en condiciones de ser fallada.</w:t>
      </w:r>
    </w:p>
    <w:p>
      <w:pPr>
        <w:pStyle w:val="[Normal]"/>
        <w:spacing w:line="360" w:lineRule="auto"/>
        <w:ind w:firstLine="1134"/>
        <w:jc w:val="both"/>
        <w:rPr>
          <w:lang w:val="es-AR" w:eastAsia="es-AR" w:bidi="es-AR"/>
        </w:rPr>
      </w:pPr>
      <w:r>
        <w:rPr>
          <w:b/>
          <w:lang w:val="es-AR" w:eastAsia="es-AR" w:bidi="es-AR"/>
        </w:rPr>
        <w:t xml:space="preserve">Agravios del ejecutado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Expresa que la sentencia dictada lo agravia, en tanto resalta como argumento la prueba pericial  caligráfica rendida que da cuenta de la autenticidad de las grafías plasmadas en los cinco pagarés, pero descarta todas las restantes observaciones que la Sra. Perito verifica y que deja a las claras que al inicio de las presentes actuaciones, los documentos se hallaban vencidos.</w:t>
      </w:r>
    </w:p>
    <w:p>
      <w:pPr>
        <w:pStyle w:val="[Normal]"/>
        <w:spacing w:line="360" w:lineRule="auto"/>
        <w:ind w:firstLine="1134"/>
        <w:jc w:val="both"/>
        <w:rPr>
          <w:lang w:val="es-AR" w:eastAsia="es-AR" w:bidi="es-AR"/>
        </w:rPr>
      </w:pPr>
      <w:r>
        <w:rPr>
          <w:lang w:val="es-AR" w:eastAsia="es-AR" w:bidi="es-AR"/>
        </w:rPr>
        <w:t xml:space="preserve">En abono de ello, da cuenta de lo peritado y omitido por la sentenciante, quien no  consideró por ejemplo que la tinta del bolígrafo utilizada para expresar montos y las firmas del deudor presentan una notoria impregnación en el papel, lo que no se encuentra en los restantes manuscritos de los pagarés y refuerza la diferencia real entre la fecha de suscripción de los títulos y la de inicio del presente juicio.</w:t>
      </w:r>
    </w:p>
    <w:p>
      <w:pPr>
        <w:pStyle w:val="[Normal]"/>
        <w:spacing w:line="360" w:lineRule="auto"/>
        <w:ind w:firstLine="1134"/>
        <w:jc w:val="both"/>
        <w:rPr>
          <w:lang w:val="es-AR" w:eastAsia="es-AR" w:bidi="es-AR"/>
        </w:rPr>
      </w:pPr>
      <w:r>
        <w:rPr>
          <w:lang w:val="es-AR" w:eastAsia="es-AR" w:bidi="es-AR"/>
        </w:rPr>
        <w:t xml:space="preserve">Se duele también, en tanto no se tuvo en cuenta el color de la tinta empleada para estampar las cantidades en  número, en letras y las firma  lo que da cuenta de la antiguedad de los documentos. Expresa que tampoco se valoró en sentencia, lo advertido por la Sra. Perito en relación a la eliminación del color verde de los formularios y huellas con restos de grafito que se observan en el número de orden de los documentos y las fechas de vencimiento que permiten reconocer los números de orden 5/ 15, 6/15, 7/15, 8/15, 9/15 y las de vencimiento 20/8 /93, 20/9/93, 20/10/93, 20/11/93 y 20/12/93.</w:t>
      </w:r>
    </w:p>
    <w:p>
      <w:pPr>
        <w:pStyle w:val="[Normal]"/>
        <w:spacing w:line="360" w:lineRule="auto"/>
        <w:ind w:firstLine="1134"/>
        <w:jc w:val="both"/>
        <w:rPr>
          <w:lang w:val="es-AR" w:eastAsia="es-AR" w:bidi="es-AR"/>
        </w:rPr>
      </w:pPr>
      <w:r>
        <w:rPr>
          <w:lang w:val="es-AR" w:eastAsia="es-AR" w:bidi="es-AR"/>
        </w:rPr>
        <w:t xml:space="preserve">Manifiesta que tampoco se valoró lo peritado en punto a los restos de lápiz referidos al año 1993, el comienzo del impreso del año " 19" y que a la época en que se insertaron los importes alfa numéricos y las firmas no fueron en el año 2014 y resultan compatibles con la fecha anterior de 1993.</w:t>
      </w:r>
    </w:p>
    <w:p>
      <w:pPr>
        <w:pStyle w:val="[Normal]"/>
        <w:spacing w:line="360" w:lineRule="auto"/>
        <w:ind w:firstLine="1134"/>
        <w:jc w:val="both"/>
        <w:rPr>
          <w:lang w:val="es-AR" w:eastAsia="es-AR" w:bidi="es-AR"/>
        </w:rPr>
      </w:pPr>
      <w:r>
        <w:rPr>
          <w:lang w:val="es-AR" w:eastAsia="es-AR" w:bidi="es-AR"/>
        </w:rPr>
        <w:t xml:space="preserve">Sigue diciendo que lo agravia la sentencia que no se haya tenido en cuenta lo peritado en forma general, reitera la diferencia de colores de tinta entre los importes, firmas, la presencia de restos de lápiz y concluye que la valoración parcial de la pericia lo perjudica por cuanto del conjunto de lo peritado se confirma lo expuesto al oponer la defensa de falsedad de firma, esto es  que los documentos fueron alterados para que tuviesen validez al inicio de las presentes actuaciones.</w:t>
      </w:r>
    </w:p>
    <w:p>
      <w:pPr>
        <w:pStyle w:val="[Normal]"/>
        <w:spacing w:line="360" w:lineRule="auto"/>
        <w:ind w:firstLine="1134"/>
        <w:jc w:val="both"/>
        <w:rPr>
          <w:lang w:val="es-AR" w:eastAsia="es-AR" w:bidi="es-AR"/>
        </w:rPr>
      </w:pPr>
      <w:r>
        <w:rPr>
          <w:lang w:val="es-AR" w:eastAsia="es-AR" w:bidi="es-AR"/>
        </w:rPr>
        <w:t xml:space="preserve">Por ello pide que en su hora se haga lugar al recurso de apelación interpuesto y se revoque la resolución apelada.</w:t>
      </w:r>
    </w:p>
    <w:p>
      <w:pPr>
        <w:pStyle w:val="[Normal]"/>
        <w:spacing w:line="360" w:lineRule="auto"/>
        <w:ind w:firstLine="1134"/>
        <w:jc w:val="both"/>
        <w:rPr>
          <w:lang w:val="es-AR" w:eastAsia="es-AR" w:bidi="es-AR"/>
        </w:rPr>
      </w:pPr>
      <w:r>
        <w:rPr>
          <w:lang w:val="es-AR" w:eastAsia="es-AR" w:bidi="es-AR"/>
        </w:rPr>
        <w:t xml:space="preserve">La parte ejecutante replica los argumentos del memorial, para lo cual manifiesta que la sentencia se ajusta a lo peritado que confirma que las firmas estampadas en los cinco pagarés son de puño y letra del excepcionante.</w:t>
      </w:r>
    </w:p>
    <w:p>
      <w:pPr>
        <w:pStyle w:val="[Normal]"/>
        <w:spacing w:line="360" w:lineRule="auto"/>
        <w:ind w:firstLine="1134"/>
        <w:jc w:val="both"/>
        <w:rPr>
          <w:lang w:val="es-AR" w:eastAsia="es-AR" w:bidi="es-AR"/>
        </w:rPr>
      </w:pPr>
      <w:r>
        <w:rPr>
          <w:lang w:val="es-AR" w:eastAsia="es-AR" w:bidi="es-AR"/>
        </w:rPr>
        <w:t xml:space="preserve">Dice también que  si lo que se pretende acusar es el abuso de la firma en blanco, ello no resulta pertinente dada la naturaleza del presente proceso ejecutivo y expresa que las cuestiones traídas en relación a las distintas tintas utilizadas en los números, letras, no tienen relevancia para el proceso por lo que concluye que  corresponde confirmar el fallo atacado con costas.</w:t>
      </w:r>
    </w:p>
    <w:p>
      <w:pPr>
        <w:pStyle w:val="[Normal]"/>
        <w:spacing w:line="360" w:lineRule="auto"/>
        <w:ind w:firstLine="1134"/>
        <w:jc w:val="both"/>
        <w:rPr>
          <w:lang w:val="es-AR" w:eastAsia="es-AR" w:bidi="es-AR"/>
        </w:rPr>
      </w:pPr>
      <w:r>
        <w:rPr>
          <w:lang w:val="es-AR" w:eastAsia="es-AR" w:bidi="es-AR"/>
        </w:rPr>
        <w:t xml:space="preserve">En tarea de decidir, soy de opinión que no lleva razón el apelante.</w:t>
      </w:r>
    </w:p>
    <w:p>
      <w:pPr>
        <w:pStyle w:val="[Normal]"/>
        <w:spacing w:line="360" w:lineRule="auto"/>
        <w:ind w:firstLine="1134"/>
        <w:jc w:val="both"/>
        <w:rPr>
          <w:b/>
          <w:lang w:val="es-AR" w:eastAsia="es-AR" w:bidi="es-AR"/>
        </w:rPr>
      </w:pPr>
      <w:r>
        <w:rPr>
          <w:lang w:val="es-AR" w:eastAsia="es-AR" w:bidi="es-AR"/>
        </w:rPr>
        <w:t xml:space="preserve">Los documentos han sido librados a días fijos con vencimiento en fecha 2014, resultando de aplicación   en su momento la ley vigente ( dec. ley 5965 / 63 ), sin perjuicio de lo cual, al inicio de las presentes en fecha 21 / 02 / 2017 se halla vigente el nuevo Código Civil y Comercial, respecto de lo cual cabe decir  que: ".. El Código Civil y Comercial no “arrasó” con toda la legislación en materia comercial. Las normas que no fueron específicamente derogadas aún se encuentran en vigencia: el Decreto Ley 5965/63 que regula las letras de cambio y pagarés es ejemplo de ello..."  ( Sala C de la Cámara de Apelaciones en lo Comercial  en autos “Suárez, Señaris c/ Nuñez, Myriam Graciela s/Ejecutivo” en Diario Judicial @ diariojudicial notas @ diariojudicial. com ).</w:t>
      </w:r>
    </w:p>
    <w:p>
      <w:pPr>
        <w:pStyle w:val="[Normal]"/>
        <w:spacing w:line="360" w:lineRule="auto"/>
        <w:ind w:firstLine="1134"/>
        <w:jc w:val="both"/>
        <w:rPr>
          <w:lang w:val="es-AR" w:eastAsia="es-AR" w:bidi="es-AR"/>
        </w:rPr>
      </w:pPr>
      <w:r>
        <w:rPr>
          <w:lang w:val="es-AR" w:eastAsia="es-AR" w:bidi="es-AR"/>
        </w:rPr>
        <w:t xml:space="preserve"> La acción instaurada, que tiene como base los pagarés ( 5 ), es de naturaleza cambiaria en tanto se funda exclusiva y excluyentemente en papeles de comercio, que tienen carácter completo, constitutivo, literal y autónomo que documentan un derecho desvinculado cambiariamente de la causa de su libramiento, es decir goza de abstracción sustancial y se basta a sí mismo ( conf. Gómez Leo; "Tratado del pagaré cambiario", pág. 111 y sigtes.).</w:t>
      </w:r>
    </w:p>
    <w:p>
      <w:pPr>
        <w:pStyle w:val="[Normal]"/>
        <w:spacing w:line="360" w:lineRule="auto"/>
        <w:ind w:firstLine="1134"/>
        <w:jc w:val="both"/>
        <w:rPr>
          <w:lang w:val="es-AR" w:eastAsia="es-AR" w:bidi="es-AR"/>
        </w:rPr>
      </w:pPr>
      <w:r>
        <w:rPr>
          <w:lang w:val="es-AR" w:eastAsia="es-AR" w:bidi="es-AR"/>
        </w:rPr>
        <w:t xml:space="preserve"> Siendo el pagaré un documento cambiario, su texto esencial debe coordinar los requisitos formales que exige la ley (arts. 101 y 102, dec. ley cit.; conf. Mossa, L., "Derecho mercantil", Bs. As., 1940, t. II, p. 425). De allí que el "texto" debe demostrar un formato coherente gramatical y de contexto, de no ser así no existe ningún texto cambiario (son palabras textuales de Baumbach, A. y Hefermhel, W., "Wechselgezetz und scheckrecht", 21ª ed., Munich, 1999, págs. 107/108) por esa razón la jurisprudencia ha resuelto que si las expresiones invocadas se encuentran fuera del cuerpo del instrumento, pues la declaración de voluntad cambiaria comienza con la fecha y el lugar de emisión, por tal razón aquellas alteraciones no son relevantes cuando los documentos en ejecución constituyen pagarés y presentan de modo inalterado los requisitos esenciales de validez (art. 101, L.C.A.; conf. Cám. Com., sala B; "El Derecho", 121-662; ídem, 122-647), tal como acontece con los documentos que se ejecutan en este proceso. ( cfr. SCBA. C. 96.876 ).</w:t>
      </w:r>
    </w:p>
    <w:p>
      <w:pPr>
        <w:pStyle w:val="[Normal]"/>
        <w:spacing w:line="360" w:lineRule="auto"/>
        <w:ind w:firstLine="1134"/>
        <w:jc w:val="both"/>
        <w:rPr>
          <w:lang w:val="es-AR" w:eastAsia="es-AR" w:bidi="es-AR"/>
        </w:rPr>
      </w:pPr>
      <w:r>
        <w:rPr>
          <w:lang w:val="es-AR" w:eastAsia="es-AR" w:bidi="es-AR"/>
        </w:rPr>
        <w:t xml:space="preserve">Desde esta base han de ser tratados los agravios, que  sucintamente se limitan a cuestionar el fallo, en tanto únicamente tiene en cuenta el segmento de la prueba pericial caligráfica en relación  a la autenticidad de las firmas, dejando de lado los otros aspectos peritados que a su entender  dan cuenta de la adulteración de las fechas con el objetivo de acreditar que al tiempo de su presentación judicial no se hallaban perjudicados y a la luz del antecedente citado, ello no es así.</w:t>
      </w:r>
    </w:p>
    <w:p>
      <w:pPr>
        <w:pStyle w:val="[Normal]"/>
        <w:spacing w:line="360" w:lineRule="auto"/>
        <w:ind w:firstLine="1134"/>
        <w:jc w:val="both"/>
        <w:rPr>
          <w:lang w:val="es-AR" w:eastAsia="es-AR" w:bidi="es-AR"/>
        </w:rPr>
      </w:pPr>
      <w:r>
        <w:rPr>
          <w:lang w:val="es-AR" w:eastAsia="es-AR" w:bidi="es-AR"/>
        </w:rPr>
        <w:t xml:space="preserve">La excepción de falsedad se relaciona con los vicios extrínsecos que pudieran tener los documentos y "... consiste en la falsificación o adulteración material de los documentos, tomándose solo en consideración sus formas externas, cuando media una falsificación o cuando siendo verdadero se lo ha adulterado en perjuicio del ejecutado..." ( Cfr. Morello: " Cods. T.VI. B. p. 108 ).</w:t>
      </w:r>
    </w:p>
    <w:p>
      <w:pPr>
        <w:pStyle w:val="[Normal]"/>
        <w:spacing w:line="360" w:lineRule="auto"/>
        <w:ind w:firstLine="1134"/>
        <w:jc w:val="both"/>
        <w:rPr>
          <w:lang w:val="es-AR" w:eastAsia="es-AR" w:bidi="es-AR"/>
        </w:rPr>
      </w:pPr>
      <w:r>
        <w:rPr>
          <w:lang w:val="es-AR" w:eastAsia="es-AR" w:bidi="es-AR"/>
        </w:rPr>
        <w:t xml:space="preserve">Y, el caso es que la defensa opuesta aduce la adulteración de las firmas y de las fechas insertas a los fines de poder exigirlos por cuanto se hallaban vencidos.</w:t>
      </w:r>
    </w:p>
    <w:p>
      <w:pPr>
        <w:pStyle w:val="[Normal]"/>
        <w:spacing w:line="360" w:lineRule="auto"/>
        <w:ind w:firstLine="1134"/>
        <w:jc w:val="both"/>
        <w:rPr>
          <w:lang w:val="es-AR" w:eastAsia="es-AR" w:bidi="es-AR"/>
        </w:rPr>
      </w:pPr>
      <w:r>
        <w:rPr>
          <w:lang w:val="es-AR" w:eastAsia="es-AR" w:bidi="es-AR"/>
        </w:rPr>
        <w:t xml:space="preserve">En relación a las grafías, ha quedado firme el dictamen pericial que reza: "... La firma libradora de cada uno de los pagarés con fecha de vencimiento,..., son auténticas puestas de puño y letra de Jorge Enrique Chuliver..." ( fs. 66 vta.) y no hallo motivo fundado en reglas de la especialidad para apartarme de lo allí concluido ( art. 474 CPC.) y tener así por reconocido que las firmas de los documentos base de la ejecución pertenecen al  excepcionante</w:t>
      </w:r>
    </w:p>
    <w:p>
      <w:pPr>
        <w:pStyle w:val="[Normal]"/>
        <w:spacing w:line="360" w:lineRule="auto"/>
        <w:ind w:firstLine="1134"/>
        <w:jc w:val="both"/>
        <w:rPr>
          <w:lang w:val="es-AR" w:eastAsia="es-AR" w:bidi="es-AR"/>
        </w:rPr>
      </w:pPr>
      <w:r>
        <w:rPr>
          <w:lang w:val="es-AR" w:eastAsia="es-AR" w:bidi="es-AR"/>
        </w:rPr>
        <w:t xml:space="preserve">De la observancia de los cinco pagarés, es fácil ver la antigüedad de los documentos, tanto por el color amarillento, manchas de humedad, como tener impreso  el numeral " 19 ", para llenar por las partes el año de creación. También, es visible los distintos colores de las tintas que lucen en los numerales, en las firmas y huellas de grafito que tienen fecha 1993, empero de ello no se vislumbra la falsedad achacada.</w:t>
      </w:r>
    </w:p>
    <w:p>
      <w:pPr>
        <w:pStyle w:val="[Normal]"/>
        <w:spacing w:line="360" w:lineRule="auto"/>
        <w:ind w:firstLine="1134"/>
        <w:jc w:val="both"/>
        <w:rPr>
          <w:lang w:val="es-AR" w:eastAsia="es-AR" w:bidi="es-AR"/>
        </w:rPr>
      </w:pPr>
      <w:r>
        <w:rPr>
          <w:lang w:val="es-AR" w:eastAsia="es-AR" w:bidi="es-AR"/>
        </w:rPr>
        <w:t xml:space="preserve">Ello, por cuanto de los </w:t>
      </w:r>
      <w:r>
        <w:rPr>
          <w:b/>
          <w:i/>
          <w:lang w:val="es-AR" w:eastAsia="es-AR" w:bidi="es-AR"/>
        </w:rPr>
        <w:t xml:space="preserve">requisitos necesarios al tiempo de la creación</w:t>
      </w:r>
      <w:r>
        <w:rPr>
          <w:b/>
          <w:lang w:val="es-AR" w:eastAsia="es-AR" w:bidi="es-AR"/>
        </w:rPr>
        <w:t xml:space="preserve"> </w:t>
      </w:r>
      <w:r>
        <w:rPr>
          <w:lang w:val="es-AR" w:eastAsia="es-AR" w:bidi="es-AR"/>
        </w:rPr>
        <w:t xml:space="preserve">de los documentos, la ley cambiaria argentina requiere: a ) la firma del librador, b ) la denominación letra de cambio o pagaré, c ) fecha de libramiento ( cfr. en tal sentido:  " Gómez Leo ": Manual de Derecho Cambiario ". p. 65 y sgtes. art. 1 dec. ley 5965/63 ).</w:t>
      </w:r>
    </w:p>
    <w:p>
      <w:pPr>
        <w:pStyle w:val="[Normal]"/>
        <w:spacing w:line="360" w:lineRule="auto"/>
        <w:ind w:firstLine="1134"/>
        <w:jc w:val="both"/>
        <w:rPr>
          <w:lang w:val="es-AR" w:eastAsia="es-AR" w:bidi="es-AR"/>
        </w:rPr>
      </w:pPr>
      <w:r>
        <w:rPr>
          <w:lang w:val="es-AR" w:eastAsia="es-AR" w:bidi="es-AR"/>
        </w:rPr>
        <w:t xml:space="preserve">Y  así, mientras que por un lado  tales requisitos esenciales se hallan en los pagarés al tiempo de su creación y no se han  adulterados, por el otro lado las adulteraciones  apuntadas por el apelante en definitiva refieren a que han sido llenados con posterioridad, lo que no es un impedimento. </w:t>
      </w:r>
    </w:p>
    <w:p>
      <w:pPr>
        <w:pStyle w:val="[Normal]"/>
        <w:spacing w:line="360" w:lineRule="auto"/>
        <w:ind w:firstLine="1134"/>
        <w:jc w:val="both"/>
        <w:rPr>
          <w:lang w:val="es-AR" w:eastAsia="es-AR" w:bidi="es-AR"/>
        </w:rPr>
      </w:pPr>
      <w:r>
        <w:rPr>
          <w:lang w:val="es-AR" w:eastAsia="es-AR" w:bidi="es-AR"/>
        </w:rPr>
        <w:t xml:space="preserve">En efecto  el  art. 11 de la Ley Cambiaria, permite la circulación de los títulos de créditos "</w:t>
      </w:r>
      <w:r>
        <w:rPr>
          <w:i/>
          <w:lang w:val="es-AR" w:eastAsia="es-AR" w:bidi="es-AR"/>
        </w:rPr>
        <w:t xml:space="preserve"> </w:t>
      </w:r>
      <w:r>
        <w:rPr>
          <w:i/>
          <w:u w:val="single"/>
          <w:lang w:val="es-AR" w:eastAsia="es-AR" w:bidi="es-AR"/>
        </w:rPr>
        <w:t xml:space="preserve">incompletos</w:t>
      </w:r>
      <w:r>
        <w:rPr>
          <w:i/>
          <w:lang w:val="es-AR" w:eastAsia="es-AR" w:bidi="es-AR"/>
        </w:rPr>
        <w:t xml:space="preserve"> </w:t>
      </w:r>
      <w:r>
        <w:rPr>
          <w:lang w:val="es-AR" w:eastAsia="es-AR" w:bidi="es-AR"/>
        </w:rPr>
        <w:t xml:space="preserve">", con la salvedad que sean llenados al momento de su presentación al cobro, a tenor del principio de completitividad que rige la materia. En el mismo sentido, se halla legislado  el Código Civil y Comercial, cuando en su art.  1833 dice: "... </w:t>
      </w:r>
      <w:r>
        <w:rPr>
          <w:i/>
          <w:lang w:val="es-AR" w:eastAsia="es-AR" w:bidi="es-AR"/>
        </w:rPr>
        <w:t xml:space="preserve">Requisitos. Contenido mínimo. Cuando por ley o por disposición del creador, el título valor debe incluir un contenido particular con carácter esencial, no produce efecto cuando no contiene esas enunciaciones. El título valor en el que se omiten las referidas menciones al tiempo de su creación, puede ser completado hasta la fecha en que debe cumplirse la prestación, excepto disposición en contrario..." </w:t>
      </w:r>
    </w:p>
    <w:p>
      <w:pPr>
        <w:pStyle w:val="[Normal]"/>
        <w:spacing w:line="360" w:lineRule="auto"/>
        <w:ind w:firstLine="1134"/>
        <w:jc w:val="both"/>
        <w:rPr>
          <w:lang w:val="es-AR" w:eastAsia="es-AR" w:bidi="es-AR"/>
        </w:rPr>
      </w:pPr>
      <w:r>
        <w:rPr>
          <w:lang w:val="es-AR" w:eastAsia="es-AR" w:bidi="es-AR"/>
        </w:rPr>
        <w:t xml:space="preserve">Por lo tanto, los distintos colores de tinta que el apelante alega para acreditar que al tiempo de su presentación no eran exigibles no es un argumento para sostener la excepción opuesta desde que "... llenar las partes en blanco de un pagaré en blanco no importa adulterarlo, pues la propia ley permite al tenedor completar el título cambiario ( arts. 2, 11, 103 Dec. ley 5965/63, si tal hecho acaece con anterioridad a su ejecución. Ello excluye la adulteración material del documento, pues cabe interpretar que se ha conferido entonces al acreedor una suerte de mandato tácito para proceder a su llenado..." ( Cfr. Morello: " Códs. T. VI. B p. 117 y sus citas ).</w:t>
      </w:r>
    </w:p>
    <w:p>
      <w:pPr>
        <w:pStyle w:val="[Normal]"/>
        <w:spacing w:line="360" w:lineRule="auto"/>
        <w:ind w:firstLine="1134"/>
        <w:jc w:val="both"/>
        <w:rPr>
          <w:lang w:val="es-AR" w:eastAsia="es-AR" w:bidi="es-AR"/>
        </w:rPr>
      </w:pPr>
      <w:r>
        <w:rPr>
          <w:lang w:val="es-AR" w:eastAsia="es-AR" w:bidi="es-AR"/>
        </w:rPr>
        <w:t xml:space="preserve">Tampoco se puede recibir el argumento que el tachado del número "19" impreso  en las cartulares  y en su lugar el guarismo "2014" que aparece inserto en forma manuscrita a continuación, en el renglón destinado a lugar y fecha.</w:t>
      </w:r>
    </w:p>
    <w:p>
      <w:pPr>
        <w:pStyle w:val="[Normal]"/>
        <w:spacing w:line="360" w:lineRule="auto"/>
        <w:ind w:firstLine="1134"/>
        <w:jc w:val="both"/>
        <w:rPr>
          <w:lang w:val="es-AR" w:eastAsia="es-AR" w:bidi="es-AR"/>
        </w:rPr>
      </w:pPr>
      <w:r>
        <w:rPr>
          <w:lang w:val="es-AR" w:eastAsia="es-AR" w:bidi="es-AR"/>
        </w:rPr>
        <w:t xml:space="preserve">Es que ha ello se ha dicho que " ... Ese testado, tratándose de un formulario preimpreso carece de entidad por sí solo para servir de sustento a la excepción de falsedad. En tal orden de ideas, la utilización de un formulario preimpreso que consigna la unidad y decena correspondientes al siglo pasado y que aparece testada, no resulta bastante para demostrar que el título se adulteró en que se sustenta la presente acción ejecutiva..." (  Cám. 2ª sala I, La Plata, causa B-69554., en tal sentido  Superior Tribunal de Justicia,  Expte. Nº 25268/05, caratulado: “Barrientos  Oscar c/  Antonio Alvarez  s/ Ejecutivo ” ).</w:t>
      </w:r>
    </w:p>
    <w:p>
      <w:pPr>
        <w:pStyle w:val="[Normal]"/>
        <w:spacing w:line="360" w:lineRule="auto"/>
        <w:ind w:firstLine="1134"/>
        <w:jc w:val="both"/>
        <w:rPr>
          <w:lang w:val="es-AR" w:eastAsia="es-AR" w:bidi="es-AR"/>
        </w:rPr>
      </w:pPr>
      <w:r>
        <w:rPr>
          <w:lang w:val="es-AR" w:eastAsia="es-AR" w:bidi="es-AR"/>
        </w:rPr>
        <w:t xml:space="preserve">Por lo demás,  al no ser desconocida la firma del librador,   resulta irrelevante a los fines que aquí nos ocupa lo expuesto en relación a las grafías en lápiz, en realidad han quedado las huellas y ello no representa la adulteración del mismo. </w:t>
      </w:r>
    </w:p>
    <w:p>
      <w:pPr>
        <w:pStyle w:val="[Normal]"/>
        <w:spacing w:line="360" w:lineRule="auto"/>
        <w:ind w:firstLine="1134"/>
        <w:jc w:val="both"/>
        <w:rPr>
          <w:lang w:val="es-AR" w:eastAsia="es-AR" w:bidi="es-AR"/>
        </w:rPr>
      </w:pPr>
      <w:r>
        <w:rPr>
          <w:lang w:val="es-AR" w:eastAsia="es-AR" w:bidi="es-AR"/>
        </w:rPr>
        <w:t xml:space="preserve">Primeramente, por que  el grafito no es un medio idóneo para asentar una declaración cambiaria  y así  el pagaré firmado, completado parcialmente en lápiz, es un documento en blanco en que se han hecho indicaciones a los fines de llenarlo, no estando integrado por lo escrito por ese medio” (  cfr. en tal sentido Cámara Nacional en lo Comercial, Sala F, Transatlántica Compañía de Seguros SA c/ Laboratorio Sant Gall Friburg QCI SRL s/ Ejecutivo” ).</w:t>
      </w:r>
    </w:p>
    <w:p>
      <w:pPr>
        <w:pStyle w:val="[Normal]"/>
        <w:spacing w:line="360" w:lineRule="auto"/>
        <w:ind w:firstLine="1134"/>
        <w:jc w:val="both"/>
        <w:rPr>
          <w:lang w:val="es-AR" w:eastAsia="es-AR" w:bidi="es-AR"/>
        </w:rPr>
      </w:pPr>
      <w:r>
        <w:rPr>
          <w:lang w:val="es-AR" w:eastAsia="es-AR" w:bidi="es-AR"/>
        </w:rPr>
        <w:t xml:space="preserve">Más aún en nuestro caso, que de acuerdo a lo peritado, lo que ha quedado son " ... restos de grafías efectuadas con lápiz...", ( fs. 66 ) por lo que en todo caso ha quedado la fecha de vencimiento en blanco con huellas de lápiz.</w:t>
      </w:r>
    </w:p>
    <w:p>
      <w:pPr>
        <w:pStyle w:val="[Normal]"/>
        <w:spacing w:line="360" w:lineRule="auto"/>
        <w:ind w:firstLine="1134"/>
        <w:jc w:val="both"/>
        <w:rPr>
          <w:lang w:val="es-AR" w:eastAsia="es-AR" w:bidi="es-AR"/>
        </w:rPr>
      </w:pPr>
      <w:r>
        <w:rPr>
          <w:lang w:val="es-AR" w:eastAsia="es-AR" w:bidi="es-AR"/>
        </w:rPr>
        <w:t xml:space="preserve">Sin perjuicio de ello, cabe transcribir además lo expuesto por otros Tribunales al efecto. "... Carece de relevancia a los efectos del título de crédito, que en un formulario predeterminado se haya puesto un día de vencimiento distinto al que figura en el cuerpo central del instrumento, ya que no hace a los requisitos esenciales para que sea un pagaré y, por lo tanto, debe tenerse por no escrita...". ... La eventual circunstancia de que se haya alterado la fecha de vencimiento de los pagarés colocada en lápiz en la parte superior derecha de dicho documento en nada afecta la habilidad de dicho título desde el momento que ella no integra su cuerpo. Por tanto la fecha de exigibilidad del pagaré se rige por lo determinado en su cuerpo..." ( ( CC0102 MP 108017 RSI-138-00 I 02/02/2000 Editorial Planeta S.A. c/ Glusberg Benjamín s/ Ejecución ).</w:t>
      </w:r>
    </w:p>
    <w:p>
      <w:pPr>
        <w:pStyle w:val="[Normal]"/>
        <w:spacing w:line="360" w:lineRule="auto"/>
        <w:ind w:firstLine="1134"/>
        <w:jc w:val="both"/>
        <w:rPr>
          <w:lang w:val="es-AR" w:eastAsia="es-AR" w:bidi="es-AR"/>
        </w:rPr>
      </w:pPr>
      <w:r>
        <w:rPr>
          <w:lang w:val="es-AR" w:eastAsia="es-AR" w:bidi="es-AR"/>
        </w:rPr>
        <w:t xml:space="preserve">A mayor abundamiento y en el mismo sentido se ha dicho que: "...   Si se admitiera que la puesta en números en el casillero "vencimiento" de un pagaré a fecha determinada, no integra ese cuerpo, tal omisión no afecta la validez del título porque la propia ley lo subsana considerándolo pagadero a la vista ( art. 101 inc. 3º, 102 Dec. ley 5965 / 63, ratificado por ley 16478 )..." ( JZ0000 VG 1681 S 29/05/1997 " Martínez, Liliana Adriana c/ Urri, Javier Alejandro s/ ejecución ).</w:t>
      </w:r>
    </w:p>
    <w:p>
      <w:pPr>
        <w:pStyle w:val="[Normal]"/>
        <w:spacing w:line="360" w:lineRule="auto"/>
        <w:ind w:firstLine="1134"/>
        <w:jc w:val="both"/>
        <w:rPr>
          <w:lang w:val="es-AR" w:eastAsia="es-AR" w:bidi="es-AR"/>
        </w:rPr>
      </w:pPr>
      <w:r>
        <w:rPr>
          <w:b/>
          <w:lang w:val="es-AR" w:eastAsia="es-AR" w:bidi="es-AR"/>
        </w:rPr>
        <w:t xml:space="preserve">Entonces,</w:t>
      </w:r>
      <w:r>
        <w:rPr>
          <w:lang w:val="es-AR" w:eastAsia="es-AR" w:bidi="es-AR"/>
        </w:rPr>
        <w:t xml:space="preserve">  establecida la autenticidad de la firma del librador -aunque éste la negara- , que las adulteraciones ( desprolijidades ) achacadas no inhabilitan los documentos no corresponde más que desestimar la apelación deducida.(arts. 1815, 1830, 1831, 1833, 1834 C.C.C. arts. 11, 103 y ccs. del Dec. ley 5965 / 63. arts. 542 inc. 4, 474, 547 CPC.)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decisorio apelado. Con costas al apelante vencido ( art. 68 CPC.) y se difiere la regulación de los honorarios profesionales para el momento procesal oportuno ( arts. 51 y 33 de la L. H.).</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decisorio apelado. Con costas al apelante vencido ( art. 68 CPC.) y se difiere la regulación de los honorarios profesionales para el momento procesal oportuno ( arts. 51 y 33 de la L. H.).</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20281299825@NOTIFICACIONES.SCBA.GOV.AR</w:t>
      </w:r>
    </w:p>
    <w:p>
      <w:pPr>
        <w:pStyle w:val="[Normal]"/>
        <w:rPr>
          <w:color w:val="000000"/>
          <w:lang w:val="es-AR" w:eastAsia="es-AR" w:bidi="es-AR"/>
        </w:rPr>
      </w:pPr>
      <w:r>
        <w:rPr>
          <w:color w:val="000000"/>
          <w:lang w:val="es-AR" w:eastAsia="es-AR" w:bidi="es-AR"/>
        </w:rPr>
        <w:t xml:space="preserve">20046963092@NOTIFICACIONES.SCBA.GOV.AR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09:24:55 -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09:25:57 -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09:56:58 -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10:49:52 -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20046963092@NOTIFICACIONES.SCBA.GOV.AR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20281299825@NOTIFICACIONES.SCBA.GOV.AR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‰7G")è%.#u@Š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233902090005140385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4207 - 21 - ZUCCARINI, ROBERTINO DANIEL C/ CHULIVER, JORGE ENRIQUE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‰7G")è%.#u@Š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233902090005140385</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