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p>
    <w:p>
      <w:pPr>
        <w:pStyle w:val="[Normal]"/>
        <w:spacing w:line="360" w:lineRule="auto"/>
        <w:jc w:val="both"/>
        <w:rPr>
          <w:lang w:val="es-AR" w:eastAsia="es-AR" w:bidi="es-AR"/>
        </w:rPr>
      </w:pPr>
      <w:r>
        <w:rPr>
          <w:b/>
          <w:lang w:val="es-AR" w:eastAsia="es-AR" w:bidi="es-AR"/>
        </w:rPr>
        <w:t xml:space="preserve">	Registro N° 55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262/278</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5 de Mayo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2220-14</w:t>
      </w:r>
      <w:r>
        <w:rPr>
          <w:lang w:val="es-AR" w:eastAsia="es-AR" w:bidi="es-AR"/>
        </w:rPr>
        <w:t xml:space="preserve"> caratulada </w:t>
      </w:r>
      <w:r>
        <w:rPr>
          <w:b/>
          <w:lang w:val="es-AR" w:eastAsia="es-AR" w:bidi="es-AR"/>
        </w:rPr>
        <w:t xml:space="preserve">"</w:t>
      </w:r>
      <w:r>
        <w:rPr>
          <w:b/>
          <w:color w:val="000000"/>
          <w:lang w:val="es-AR" w:eastAsia="es-AR" w:bidi="es-AR"/>
        </w:rPr>
        <w:t xml:space="preserve">ALVAREZ,  ALBERTO ADRIAN Y OTRO/A C/ CLINICA GENERAL PAZ Y OTROS S/ DAÑOS Y PERJ. DEL./CUAS. (EXC.USO AUT. Y ESTADO)</w:t>
      </w:r>
      <w:r>
        <w:rPr>
          <w:b/>
          <w:lang w:val="es-AR" w:eastAsia="es-AR" w:bidi="es-AR"/>
        </w:rPr>
        <w:t xml:space="preserve">"</w:t>
      </w:r>
      <w:r>
        <w:rPr>
          <w:lang w:val="es-AR" w:eastAsia="es-AR" w:bidi="es-AR"/>
        </w:rPr>
        <w:t xml:space="preserve">, Expte. N° 73108 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Ramiro Guerrico, Renato Santore y Leonardo Villanueva,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Ramiro Guerrico dijo:</w:t>
      </w:r>
    </w:p>
    <w:p>
      <w:pPr>
        <w:pStyle w:val="[Normal]"/>
        <w:spacing w:line="360" w:lineRule="auto"/>
        <w:ind w:firstLine="1134"/>
        <w:jc w:val="both"/>
        <w:rPr>
          <w:color w:val="000000"/>
          <w:lang w:val="es-AR" w:eastAsia="es-AR" w:bidi="es-AR"/>
        </w:rPr>
      </w:pPr>
      <w:r>
        <w:rPr>
          <w:lang w:val="es-AR" w:eastAsia="es-AR" w:bidi="es-AR"/>
        </w:rPr>
        <w:t xml:space="preserve">La Suprema Corte de Justicia hizo lugar al recurso extraordinario  de inaplicabilidad de ley interpuesto por la parte actora, y revocó  el rechazo de la acción entablada en segunda instancia, confirmó la condena dictada en la instancia de grado y dispuso que los autos volvieran a esta sede a fin de que se examinen los agravios desplazados, concernientes a la procedencia y cuantificación del reclamo. 	</w:t>
        <w:br w:type="textWrapping"/>
      </w:r>
      <w:r>
        <w:rPr>
          <w:lang w:val="es-AR" w:eastAsia="es-AR" w:bidi="es-AR"/>
        </w:rPr>
        <w:t xml:space="preserve"> 	A tales efectos, es oportuno señalar que el Juez de Primera Instancia dictó sentencia haciendo lugar a la demanda instaurada por </w:t>
      </w:r>
      <w:r>
        <w:rPr>
          <w:color w:val="000000"/>
          <w:lang w:val="es-AR" w:eastAsia="es-AR" w:bidi="es-AR"/>
        </w:rPr>
        <w:t xml:space="preserve">Alberto A. Alvarez y Lorena Silvina Couto - por si y en representación de su hijo menor E.A. y  en consecuencia, condenar a A.O. G. y a la Clínica Gral Paz, y a la Aseguradora a abonar a los nombrados  la suma de </w:t>
      </w:r>
      <w:r>
        <w:rPr>
          <w:b/>
          <w:color w:val="000000"/>
          <w:lang w:val="es-AR" w:eastAsia="es-AR" w:bidi="es-AR"/>
        </w:rPr>
        <w:t xml:space="preserve">$ 3. 700.000, </w:t>
      </w:r>
      <w:r>
        <w:rPr>
          <w:color w:val="000000"/>
          <w:lang w:val="es-AR" w:eastAsia="es-AR" w:bidi="es-AR"/>
        </w:rPr>
        <w:t xml:space="preserve"> dentro de los diez días de notificada, con más los intereses a la Tasa Pasiva (más alta Cfr. SCBA C: Cabrera 2016) del Banco de la Provincia de Bs. As., desde la fecha de la mora 15 de diciembre de 2007. </w:t>
      </w:r>
      <w:r>
        <w:rPr>
          <w:b/>
          <w:color w:val="000000"/>
          <w:lang w:val="es-AR" w:eastAsia="es-AR" w:bidi="es-AR"/>
        </w:rPr>
        <w:t xml:space="preserve">Además,</w:t>
      </w:r>
      <w:r>
        <w:rPr>
          <w:color w:val="000000"/>
          <w:lang w:val="es-AR" w:eastAsia="es-AR" w:bidi="es-AR"/>
        </w:rPr>
        <w:t xml:space="preserve"> a abonar en forma mensual y consecutiva del 1 al diez de cada mes, la suma correspondiente al salario mínimo vital y móvil, monto que implica el piso salarial que debe percibir cualquier trabajador en el país por una jornada de ocho horas   (Consejo Nacional del Empleo, la Productividad y el salario Mínimo Vital y Móvil).  Con costas a la parte perdidosa, a cuyos efectos difiero la regulación de los honorarios de los letrados y peritos intervinientes, para cuando obre liquidación firme ( art. 51 de la ley 8904 ).</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por parte de la actora a fs. 795; la demandada a fs. 797; los codemandados a fs. 792 y 794 y la citada en garantía a fs. 793, concedidos todos a fs. 798 libremente y con efectos suspensivos.  A fs. 873 se ordenó expresar agravios a la actora, a fs. 874 al apoderado de la demandada Clínica Gral. Paz; a fs. 875 a los codemandados Juan Carlos de Pedro y Oscar Alberto Garcia y a fs. 881 a la citada en garantía.  A fs. 882/891 fueron agregadas las expresiones de agravios producidas por la actora; a fs. 892/900 el de la demandada; a fs. 901/917 del codemandado O. A. G.; a fs 918/922 del codemandado J. C. de P. y a fs. 923/vta. la de la citada en garantía.  A fs. 924 se ordenaron los traslados respectivos, los que son evacuados a fs. 925/931 por la demandado; a fs. 932/940 por la actora; a fs. 941/942 por el codemandado Juan Carlos de Pedro; a fs. 943/945 por el codemandado O. A. G. y a fs. 946/947 por la citada en garantía.  A fs. 950 se ordenó el traslado de las expresiones de agravios presentadas por la actora, los demandados y la citada en garantía a la Sra. Asesora de Incapaces, el que fue evacuado a fs. 952/953.  A fs. 954 llamamiento de autos, providencia, firme a la fecha deja la causa en condiciones de fallada. </w:t>
      </w:r>
    </w:p>
    <w:p>
      <w:pPr>
        <w:pStyle w:val="[Normal]"/>
        <w:spacing w:line="360" w:lineRule="auto"/>
        <w:ind w:firstLine="1134"/>
        <w:jc w:val="both"/>
        <w:rPr>
          <w:lang w:val="es-AR" w:eastAsia="es-AR" w:bidi="es-AR"/>
        </w:rPr>
      </w:pPr>
      <w:r>
        <w:rPr>
          <w:lang w:val="es-AR" w:eastAsia="es-AR" w:bidi="es-AR"/>
        </w:rPr>
        <w:t xml:space="preserve">I.- En cumplimiento de la remisión dispuesta por la Corte Provincial según alcances y límites asignados, corresponde tratar únicamente los agravios relativos a la cuantificación del daño que fueron aquellos que resultaron desplazados como consecuencia del rechazo de la acción entablada en segunda instancia.</w:t>
      </w:r>
    </w:p>
    <w:p>
      <w:pPr>
        <w:pStyle w:val="[Normal]"/>
        <w:spacing w:line="360" w:lineRule="auto"/>
        <w:ind w:firstLine="1134"/>
        <w:jc w:val="both"/>
        <w:rPr>
          <w:lang w:val="es-AR" w:eastAsia="es-AR" w:bidi="es-AR"/>
        </w:rPr>
      </w:pPr>
      <w:r>
        <w:rPr>
          <w:lang w:val="es-AR" w:eastAsia="es-AR" w:bidi="es-AR"/>
        </w:rPr>
        <w:t xml:space="preserve">A tal efecto, y en pro de un mayor orden y claridad expositiva, procederé a exponerlos y clasificarlos en función de las partes apelantes.</w:t>
      </w:r>
    </w:p>
    <w:p>
      <w:pPr>
        <w:pStyle w:val="[Normal]"/>
        <w:spacing w:line="360" w:lineRule="auto"/>
        <w:ind w:firstLine="1134"/>
        <w:jc w:val="both"/>
        <w:rPr>
          <w:lang w:val="es-AR" w:eastAsia="es-AR" w:bidi="es-AR"/>
        </w:rPr>
      </w:pPr>
      <w:r>
        <w:rPr>
          <w:lang w:val="es-AR" w:eastAsia="es-AR" w:bidi="es-AR"/>
        </w:rPr>
        <w:t xml:space="preserve">1).-AGRAVIOS PARTE ACTORA: </w:t>
      </w:r>
    </w:p>
    <w:p>
      <w:pPr>
        <w:pStyle w:val="[Normal]"/>
        <w:spacing w:line="360" w:lineRule="auto"/>
        <w:ind w:firstLine="1134"/>
        <w:jc w:val="both"/>
        <w:rPr>
          <w:lang w:val="es-AR" w:eastAsia="es-AR" w:bidi="es-AR"/>
        </w:rPr>
      </w:pPr>
      <w:r>
        <w:rPr>
          <w:lang w:val="es-AR" w:eastAsia="es-AR" w:bidi="es-AR"/>
        </w:rPr>
        <w:t xml:space="preserve">La parte accionante critica la cuantificación de los rubros dados a los que detalladamente y por cada rubro afirma como alejados de la realidad, señalando que el de incapacidad sobreviniente no se compadece con el cuadro de discapacidad motora total de la victima, apareciendo exiguo el monto dado.  Lo mismo con relación al daño moral y al monto atribuido a la vivienda.-</w:t>
      </w:r>
    </w:p>
    <w:p>
      <w:pPr>
        <w:pStyle w:val="[Normal]"/>
        <w:spacing w:line="360" w:lineRule="auto"/>
        <w:ind w:firstLine="1134"/>
        <w:jc w:val="both"/>
        <w:rPr>
          <w:lang w:val="es-AR" w:eastAsia="es-AR" w:bidi="es-AR"/>
        </w:rPr>
      </w:pPr>
      <w:r>
        <w:rPr>
          <w:lang w:val="es-AR" w:eastAsia="es-AR" w:bidi="es-AR"/>
        </w:rPr>
        <w:t xml:space="preserve">2).-AGRAVIOS APODERADO CLINICA GENERAL PAZ: (fs 892/900).-</w:t>
      </w:r>
    </w:p>
    <w:p>
      <w:pPr>
        <w:pStyle w:val="[Normal]"/>
        <w:spacing w:line="360" w:lineRule="auto"/>
        <w:ind w:firstLine="1134"/>
        <w:jc w:val="both"/>
        <w:rPr>
          <w:lang w:val="es-AR" w:eastAsia="es-AR" w:bidi="es-AR"/>
        </w:rPr>
      </w:pPr>
      <w:r>
        <w:rPr>
          <w:lang w:val="es-AR" w:eastAsia="es-AR" w:bidi="es-AR"/>
        </w:rPr>
        <w:t xml:space="preserve">Se duele de la cuanficación de los importes dados para los padres como para el menor sosteniendo que son desmedidos, y que no se brindan parámetros para controlar racionalmente como se arriba a semejantes montos. Sostiene, en tal sentido, que la sentencia apelada ha incurrido en duplicidad indemnizatoria en relación al rubro daño psicológico y moral.</w:t>
      </w:r>
    </w:p>
    <w:p>
      <w:pPr>
        <w:pStyle w:val="[Normal]"/>
        <w:spacing w:line="360" w:lineRule="auto"/>
        <w:ind w:firstLine="1134"/>
        <w:jc w:val="both"/>
        <w:rPr>
          <w:lang w:val="es-AR" w:eastAsia="es-AR" w:bidi="es-AR"/>
        </w:rPr>
      </w:pPr>
      <w:r>
        <w:rPr>
          <w:lang w:val="es-AR" w:eastAsia="es-AR" w:bidi="es-AR"/>
        </w:rPr>
        <w:t xml:space="preserve">Denuncia la violación del principio de congruencia en tanto se ordena a la clínica a abonar un salario mínimo, vital y móvil, cuando dice que ello es propio de una indemnización del sistema previsional y asistencial, poniendo de resalto que esa petición no fue formulada en demanda, vulnerándose el principio de congruencia.-</w:t>
      </w:r>
    </w:p>
    <w:p>
      <w:pPr>
        <w:pStyle w:val="[Normal]"/>
        <w:spacing w:line="360" w:lineRule="auto"/>
        <w:ind w:firstLine="1134"/>
        <w:jc w:val="both"/>
        <w:rPr>
          <w:lang w:val="es-AR" w:eastAsia="es-AR" w:bidi="es-AR"/>
        </w:rPr>
      </w:pPr>
      <w:r>
        <w:rPr>
          <w:lang w:val="es-AR" w:eastAsia="es-AR" w:bidi="es-AR"/>
        </w:rPr>
        <w:t xml:space="preserve">3).-AGRAVIOS CODEMANDADO OSCAR ALBERTO GARCIA:  		Se duele de la cuantificación del daño señalando que se vulnera aquí también el principio de congruencia en cuanto no guarda relación ni proporcionalidad con los parámetros incorporados al proceso, cuestionando todas y cada uno de los rubros dados.-</w:t>
      </w:r>
    </w:p>
    <w:p>
      <w:pPr>
        <w:pStyle w:val="[Normal]"/>
        <w:spacing w:line="360" w:lineRule="auto"/>
        <w:ind w:firstLine="1134"/>
        <w:jc w:val="both"/>
        <w:rPr>
          <w:lang w:val="es-AR" w:eastAsia="es-AR" w:bidi="es-AR"/>
        </w:rPr>
      </w:pPr>
      <w:r>
        <w:rPr>
          <w:lang w:val="es-AR" w:eastAsia="es-AR" w:bidi="es-AR"/>
        </w:rPr>
        <w:t xml:space="preserve">4).- AGRAVIOS SEGUROS MEDICO S. A.: funda el recurso de apelación y por razones de economía procesal que invoca adhiere a los agravios presentados por los codemandados De Pedro y García.-</w:t>
      </w:r>
    </w:p>
    <w:p>
      <w:pPr>
        <w:pStyle w:val="[Normal]"/>
        <w:spacing w:line="360" w:lineRule="auto"/>
        <w:ind w:firstLine="1134"/>
        <w:jc w:val="both"/>
        <w:rPr>
          <w:lang w:val="es-AR" w:eastAsia="es-AR" w:bidi="es-AR"/>
        </w:rPr>
      </w:pPr>
      <w:r>
        <w:rPr>
          <w:lang w:val="es-AR" w:eastAsia="es-AR" w:bidi="es-AR"/>
        </w:rPr>
        <w:t xml:space="preserve">II.- A modo preliminar, he de señalar que la sentencia, como acto jurisdiccional ha sido definida como la derivación razonada del derecho argentino vigente, conforme las constancias de la causa. Y toda vez que el principio constitucional (art. 19) de no dañar a otro lleva como contrapartida la reparación integral del daño producido, una sentencia dictada conforme valores que han quedado holgadamente desnaturalizados, viola aquella reparación integral.</w:t>
      </w:r>
    </w:p>
    <w:p>
      <w:pPr>
        <w:pStyle w:val="[Normal]"/>
        <w:spacing w:line="360" w:lineRule="auto"/>
        <w:ind w:firstLine="1134"/>
        <w:jc w:val="both"/>
        <w:rPr>
          <w:lang w:val="es-AR" w:eastAsia="es-AR" w:bidi="es-AR"/>
        </w:rPr>
      </w:pPr>
      <w:r>
        <w:rPr>
          <w:lang w:val="es-AR" w:eastAsia="es-AR" w:bidi="es-AR"/>
        </w:rPr>
        <w:t xml:space="preserve">En los precedentes </w:t>
      </w:r>
      <w:r>
        <w:rPr>
          <w:i/>
          <w:lang w:val="es-AR" w:eastAsia="es-AR" w:bidi="es-AR"/>
        </w:rPr>
        <w:t xml:space="preserve">"Vera"</w:t>
      </w:r>
      <w:r>
        <w:rPr>
          <w:lang w:val="es-AR" w:eastAsia="es-AR" w:bidi="es-AR"/>
        </w:rPr>
        <w:t xml:space="preserve"> y </w:t>
      </w:r>
      <w:r>
        <w:rPr>
          <w:i/>
          <w:lang w:val="es-AR" w:eastAsia="es-AR" w:bidi="es-AR"/>
        </w:rPr>
        <w:t xml:space="preserve">"Nidera"</w:t>
      </w:r>
      <w:r>
        <w:rPr>
          <w:lang w:val="es-AR" w:eastAsia="es-AR" w:bidi="es-AR"/>
        </w:rPr>
        <w:t xml:space="preserve">, la SCBA resolvió que la indemnización por daños debe ser calculada a valores actuales, no implicando tal proceder una violación a la prohibición indexatoria (arts. 7 y 10, ley 23.928).  Y que, en virtud de ello, corresponde fijar una tasa de interés puro del 6% por el lapso temporal transcurrido entre el momento del hecho y el momento del dictado de la sentencia judicial -implicando esto un cambio de criterio respecto de los pronunciamientos que, hasta la fecha, he dictado en la instancia de grado-. -</w:t>
      </w:r>
    </w:p>
    <w:p>
      <w:pPr>
        <w:pStyle w:val="[Normal]"/>
        <w:spacing w:line="360" w:lineRule="auto"/>
        <w:ind w:firstLine="1134"/>
        <w:jc w:val="both"/>
        <w:rPr>
          <w:lang w:val="es-AR" w:eastAsia="es-AR" w:bidi="es-AR"/>
        </w:rPr>
      </w:pPr>
      <w:r>
        <w:rPr>
          <w:lang w:val="es-AR" w:eastAsia="es-AR" w:bidi="es-AR"/>
        </w:rPr>
        <w:t xml:space="preserve">Así, en la causa </w:t>
      </w:r>
      <w:r>
        <w:rPr>
          <w:i/>
          <w:lang w:val="es-AR" w:eastAsia="es-AR" w:bidi="es-AR"/>
        </w:rPr>
        <w:t xml:space="preserve">"Vera"</w:t>
      </w:r>
      <w:r>
        <w:rPr>
          <w:lang w:val="es-AR" w:eastAsia="es-AR" w:bidi="es-AR"/>
        </w:rPr>
        <w:t xml:space="preserve">, la Corte sostuvo que: </w:t>
      </w:r>
      <w:r>
        <w:rPr>
          <w:i/>
          <w:lang w:val="es-AR" w:eastAsia="es-AR" w:bidi="es-AR"/>
        </w:rPr>
        <w:t xml:space="preserve">"A fin de dar adecuado tratamiento a este agravio, es preciso recordar que esta Suprema Corte de Justicia ha cuidado de no identificar la estimación de los rubros indemnizatorios a fin de reflejar los valores actuales de los bienes a los que refieren, con la utilización de mecanismos indexatorios, de ajuste o reajuste según índices o de coeficientes de actualización de montos históricos.  En el matiz diferencial entre ambas modalidades tuvo en cuenta que en la última se está ante una operación matemática, mientras que la primera en principio no consiste estrictamente en eso, sino en el justiprecio de un valor según la realidad económica existente al momento en que se pronuncia el fallo"(...) Como la indemnización se ha estimado a valores posteriores a la fecha de exigibilidad del crédito, era congruente con esa realidad económica liquidar los intereses devengados hasta ese momento aplicando, como tradicionalmente se establecía en relación con todas las modalidades de actualización, una tasa de interés puro; es decir, el accesorio destinado a la retribución de la privación del capital, despojado de otros componentes (entre otros, la pérdida del valor adquisitivo de la moneda, producto del fenómeno inflacionario; conf. Molinario, Alberto D., "Del interés lucrativo contractual y cuestiones conexas", RdN, 725, 1573), desagregado de los factores o riesgos que el prestador asume hasta lograr la recuperación íntegra de la suma prestada ... En su hora el así denominado interés puro fue establecido por la Corte Suprema de Justicia de la Nación en un 6% anual (Fallos: 283:235; 295:973; 296:115, y más recientemente en Fallos: 311:1249). Esta Suprema Corte de Justicia Provincial, en un primer momento lo determinó en el 8% por igual período(...) II.3.e.vi. En las actuales circunstancias no se advierten razones para descartar dicho güarismo, no sólo en atención a que el impugnante nada ha dicho al respecto en sentido contrario en el recurso, sino porque, en sustancia, luce proporcionado, respetuoso de la aludida evolución jurisprudencial, y congruente con el contexto de las tasas aplicadas a las operaciones que, al expresarse en monedas "fuertes" o con base en un capital ajustable por índices, pueden ser tenidas como referencia -con las particularidades de cada caso-, tal como ocurre con ciertos títulos públicos provinciales(...).  Así las cosas, es prudente adoptar en la especie el aludido criterio consolidado por la jurisprudencia.  Lo es porque el cálculo del crédito a valores actuales, pese a no identificarse con las operaciones estrictamente indexatorias, se asemeja a ellas en cuanto evidencia una respuesta frente al impacto negativo de factores económicos notorios, como los derivados de las altas tasas de inflación experimentadas a partir de la pasada década, sobre todo al promediar su segunda mitad"</w:t>
      </w:r>
      <w:r>
        <w:rPr>
          <w:lang w:val="es-AR" w:eastAsia="es-AR" w:bidi="es-AR"/>
        </w:rPr>
        <w:t xml:space="preserve"> (SCJBA, </w:t>
      </w:r>
      <w:r>
        <w:rPr>
          <w:i/>
          <w:lang w:val="es-AR" w:eastAsia="es-AR" w:bidi="es-AR"/>
        </w:rPr>
        <w:t xml:space="preserve">"Vera, Juan Carlos contra Provincia de Buenos Aires. Daños y perjuicios"</w:t>
      </w:r>
      <w:r>
        <w:rPr>
          <w:lang w:val="es-AR" w:eastAsia="es-AR" w:bidi="es-AR"/>
        </w:rPr>
        <w:t xml:space="preserve">, causa C. 120.536, del 18 de Abril de 2018). </w:t>
      </w:r>
    </w:p>
    <w:p>
      <w:pPr>
        <w:pStyle w:val="[Normal]"/>
        <w:spacing w:line="360" w:lineRule="auto"/>
        <w:ind w:firstLine="1134"/>
        <w:jc w:val="both"/>
        <w:rPr>
          <w:lang w:val="es-AR" w:eastAsia="es-AR" w:bidi="es-AR"/>
        </w:rPr>
      </w:pPr>
      <w:r>
        <w:rPr>
          <w:lang w:val="es-AR" w:eastAsia="es-AR" w:bidi="es-AR"/>
        </w:rPr>
        <w:t xml:space="preserve">En línea con lo expuesto, en la causa </w:t>
      </w:r>
      <w:r>
        <w:rPr>
          <w:i/>
          <w:lang w:val="es-AR" w:eastAsia="es-AR" w:bidi="es-AR"/>
        </w:rPr>
        <w:t xml:space="preserve">"Nidera"</w:t>
      </w:r>
      <w:r>
        <w:rPr>
          <w:lang w:val="es-AR" w:eastAsia="es-AR" w:bidi="es-AR"/>
        </w:rPr>
        <w:t xml:space="preserve">, la Corte fundamentó y ratificó sendos criterios: </w:t>
      </w:r>
      <w:r>
        <w:rPr>
          <w:i/>
          <w:lang w:val="es-AR" w:eastAsia="es-AR" w:bidi="es-AR"/>
        </w:rPr>
        <w:t xml:space="preserve">"Lo es porque el cálculo del crédito a valores actuales, pese a no identificarse con las operaciones estrictamente indexatorias, se asemeja a ellas en cuanto evidencia una respuesta frente al impacto negativo de factores económicos notorios, como los derivados de las altas tasas de inflación experimentadas a partir de la pasada década, sobre todo al promediar su segunda mitad.  Una etapa en la cual, en adición a lo ya señalado en orden a lo dispuesto en el art. 772 del Código Civil y Comercial la agregación de distintos antecedentes normativos ha venido a reconfigurar el panorama regulatorio en la materia, morigerando la estrictez del régimen previsto en los arts. 7 y 10 de la ley 23.928 (ratificado por la ley 25.561, con sus reformas) a favor de una creciente flexibilidad, por cuya virtud se abren paso considerables excepciones expresas que consagran la inaplicabilidad de tales textos -preferentemente para grandes operaciones financieras (v.gr. leyes 26.313; 26.547, art. 4; 27.249; 27.271, art. 6; 27.328, art. 31 inc. "d"; decretos PEN 905/02, art. 2; 1.096/02, art. 1; 1.733/04, art. 1; 146/17, art. 5)- o bien se modulan sus alcances prohibitivos (...) cabe concluir que cuando sea pertinente el ajuste por índices o bien cuando se fije un quantum a valor actual, tal cual se ha decidido por la Cámara en la especie, en principio debe emplearse el denominado interés puro a fin de evitar distorsiones en el cálculo y determinación del crédito, como las que han motivado los agravios del recurrente"</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Finalmente, es dable referir que esta Cámara ya se ha hecho eco de la doctrina legal de la SCJBA en la causa N°  </w:t>
      </w:r>
      <w:r>
        <w:rPr>
          <w:color w:val="000000"/>
          <w:lang w:val="es-AR" w:eastAsia="es-AR" w:bidi="es-AR"/>
        </w:rPr>
        <w:t xml:space="preserve">3755-19</w:t>
      </w:r>
      <w:r>
        <w:rPr>
          <w:lang w:val="es-AR" w:eastAsia="es-AR" w:bidi="es-AR"/>
        </w:rPr>
        <w:t xml:space="preserve">  caratulada "</w:t>
      </w:r>
      <w:r>
        <w:rPr>
          <w:color w:val="000000"/>
          <w:lang w:val="es-AR" w:eastAsia="es-AR" w:bidi="es-AR"/>
        </w:rPr>
        <w:t xml:space="preserve">GLAVE NICOLAS EMANUEL Y OTRO/A C/ FALCINELLI FRANCO ANTONIO Y OTROS  S/ DAÑOS Y PERJ.AUTOM. C/LES. O MUERTE (EXC.ESTADO)</w:t>
      </w:r>
      <w:r>
        <w:rPr>
          <w:lang w:val="es-AR" w:eastAsia="es-AR" w:bidi="es-AR"/>
        </w:rPr>
        <w:t xml:space="preserve">" , n° de Registro 67/</w:t>
      </w:r>
      <w:r>
        <w:rPr>
          <w:color w:val="000000"/>
          <w:lang w:val="es-AR" w:eastAsia="es-AR" w:bidi="es-AR"/>
        </w:rPr>
        <w:t xml:space="preserve">2020 </w:t>
      </w:r>
      <w:r>
        <w:rPr>
          <w:lang w:val="es-AR" w:eastAsia="es-AR" w:bidi="es-AR"/>
        </w:rPr>
        <w:t xml:space="preserve">, del 4 de Junio de 2020. -</w:t>
      </w:r>
    </w:p>
    <w:p>
      <w:pPr>
        <w:pStyle w:val="[Normal]"/>
        <w:spacing w:line="360" w:lineRule="auto"/>
        <w:ind w:firstLine="1134"/>
        <w:jc w:val="both"/>
        <w:rPr>
          <w:lang w:val="es-AR" w:eastAsia="es-AR" w:bidi="es-AR"/>
        </w:rPr>
      </w:pPr>
      <w:r>
        <w:rPr>
          <w:lang w:val="es-AR" w:eastAsia="es-AR" w:bidi="es-AR"/>
        </w:rPr>
        <w:t xml:space="preserve">Idéntica consideración cabe efectuar respecto a la tasa de interés aplicable que, por su interrelación jurídica y económica con relación al momento en que se determine la entidad y extensión del daño, no puede ser desvinculada de este último aspecto, so riesgo de afectar el justo equilibrio entre el derecho de propiedad del responsable (art. 17 CN) y el derecho a la reparación integral de la víctima (art. 75 inc. 22 de la CN). -	</w:t>
        <w:br w:type="textWrapping"/>
      </w:r>
      <w:r>
        <w:rPr>
          <w:lang w:val="es-AR" w:eastAsia="es-AR" w:bidi="es-AR"/>
        </w:rPr>
        <w:t xml:space="preserve"> 	Aclarada la cuestión precedente, cabe señalar que las partes actoras se han agraviado respecto del rubro daño material por muerte, daño moral y valor vivienda. Por su parte, las codemandadas -declaradas responsables en la sentencia del Superior Tribunal Provincial de fecha 4/12/2019 también han expresado sus agravios respecto de similares puntos.	</w:t>
        <w:br w:type="textWrapping"/>
      </w:r>
      <w:r>
        <w:rPr>
          <w:lang w:val="es-AR" w:eastAsia="es-AR" w:bidi="es-AR"/>
        </w:rPr>
        <w:t xml:space="preserve"> 	Por razones de claridad expositiva, he de analizar cada uno de esos rubros por separado, tratando simultáneamente los agravios que fueran expresados por todas las partes en relación a los puntos objeto de apelación y que en su hora quedaron pendientes de tratamiento por haberse desestimado </w:t>
      </w:r>
      <w:r>
        <w:rPr>
          <w:i/>
          <w:lang w:val="es-AR" w:eastAsia="es-AR" w:bidi="es-AR"/>
        </w:rPr>
        <w:t xml:space="preserve">in totum</w:t>
      </w:r>
      <w:r>
        <w:rPr>
          <w:lang w:val="es-AR" w:eastAsia="es-AR" w:bidi="es-AR"/>
        </w:rPr>
        <w:t xml:space="preserve"> la responsabilidad de los codemandados (ver sentencia de fecha 13/8/2018):</w:t>
      </w:r>
    </w:p>
    <w:p>
      <w:pPr>
        <w:pStyle w:val="[Normal]"/>
        <w:spacing w:line="360" w:lineRule="auto"/>
        <w:ind w:firstLine="1134"/>
        <w:jc w:val="both"/>
        <w:rPr>
          <w:lang w:val="es-AR" w:eastAsia="es-AR" w:bidi="es-AR"/>
        </w:rPr>
      </w:pPr>
      <w:r>
        <w:rPr>
          <w:lang w:val="es-AR" w:eastAsia="es-AR" w:bidi="es-AR"/>
        </w:rPr>
        <w:t xml:space="preserve">III. Daño por incapacidad: </w:t>
      </w:r>
    </w:p>
    <w:p>
      <w:pPr>
        <w:pStyle w:val="[Normal]"/>
        <w:spacing w:line="360" w:lineRule="auto"/>
        <w:ind w:firstLine="1134"/>
        <w:jc w:val="both"/>
        <w:rPr>
          <w:lang w:val="es-AR" w:eastAsia="es-AR" w:bidi="es-AR"/>
        </w:rPr>
      </w:pPr>
      <w:r>
        <w:rPr>
          <w:lang w:val="es-AR" w:eastAsia="es-AR" w:bidi="es-AR"/>
        </w:rPr>
        <w:t xml:space="preserve">Entiendo que la calificación del daño sufrido como "</w:t>
      </w:r>
      <w:r>
        <w:rPr>
          <w:i/>
          <w:color w:val="000000"/>
          <w:lang w:val="es-AR" w:eastAsia="es-AR" w:bidi="es-AR"/>
        </w:rPr>
        <w:t xml:space="preserve">grave lesión neurológica"</w:t>
      </w:r>
      <w:r>
        <w:rPr>
          <w:color w:val="000000"/>
          <w:lang w:val="es-AR" w:eastAsia="es-AR" w:bidi="es-AR"/>
        </w:rPr>
        <w:t xml:space="preserve"> c</w:t>
      </w:r>
      <w:r>
        <w:rPr>
          <w:lang w:val="es-AR" w:eastAsia="es-AR" w:bidi="es-AR"/>
        </w:rPr>
        <w:t xml:space="preserve">onforme ha sido determinado en la sentencia dictada por la SCBA nos habilita a encuadrar la situación de la víctima en el supuesto de gran incapacidad. </w:t>
      </w:r>
    </w:p>
    <w:p>
      <w:pPr>
        <w:pStyle w:val="[Normal]"/>
        <w:spacing w:line="360" w:lineRule="auto"/>
        <w:ind w:firstLine="1134"/>
        <w:jc w:val="both"/>
        <w:rPr>
          <w:lang w:val="es-AR" w:eastAsia="es-AR" w:bidi="es-AR"/>
        </w:rPr>
      </w:pPr>
      <w:r>
        <w:rPr>
          <w:lang w:val="es-AR" w:eastAsia="es-AR" w:bidi="es-AR"/>
        </w:rPr>
        <w:t xml:space="preserve">Cabe puntualizar que tal hipótesis atañe a una drástica incapacidad -casi siempre absoluta- y permanente, que además priva al sujeto de autonomía aun para el desenvolvimiento de actos cotidianos y, en su virtud, lo torna por completo dependiente de otras personas. </w:t>
      </w:r>
    </w:p>
    <w:p>
      <w:pPr>
        <w:pStyle w:val="[Normal]"/>
        <w:spacing w:line="360" w:lineRule="auto"/>
        <w:ind w:firstLine="1134"/>
        <w:jc w:val="both"/>
        <w:rPr>
          <w:lang w:val="es-AR" w:eastAsia="es-AR" w:bidi="es-AR"/>
        </w:rPr>
      </w:pPr>
      <w:r>
        <w:rPr>
          <w:lang w:val="es-AR" w:eastAsia="es-AR" w:bidi="es-AR"/>
        </w:rPr>
        <w:t xml:space="preserve">En este aspecto, el Dr. Galdós la define como </w:t>
      </w:r>
      <w:r>
        <w:rPr>
          <w:i/>
          <w:lang w:val="es-AR" w:eastAsia="es-AR" w:bidi="es-AR"/>
        </w:rPr>
        <w:t xml:space="preserve">"gravísima afectación a las funciones vitales en que las más allá del porcentaje de incapacidad, es decir aun cuando no sea total (del 100%), se genera un estado de imposibilidad absoluta de la víctima para realizar cualquier tarea remunerada, requiriendo generalmente de la asistencia de terceros, aún en forma discontinua, para afrontar la satisfacción de necesidades mínimas"</w:t>
      </w:r>
      <w:r>
        <w:rPr>
          <w:lang w:val="es-AR" w:eastAsia="es-AR" w:bidi="es-AR"/>
        </w:rPr>
        <w:t xml:space="preserve"> (GALDOS, Jorge, Un caso de discapacidad en fallo ejemplar , LL, 2005-B-868 y ss.)</w:t>
      </w:r>
    </w:p>
    <w:p>
      <w:pPr>
        <w:pStyle w:val="[Normal]"/>
        <w:spacing w:line="360" w:lineRule="auto"/>
        <w:ind w:firstLine="1134"/>
        <w:jc w:val="both"/>
        <w:rPr>
          <w:lang w:val="es-AR" w:eastAsia="es-AR" w:bidi="es-AR"/>
        </w:rPr>
      </w:pPr>
      <w:r>
        <w:rPr>
          <w:lang w:val="es-AR" w:eastAsia="es-AR" w:bidi="es-AR"/>
        </w:rPr>
        <w:t xml:space="preserve">Profundizando, la llamada gran invalidez constituye el máximo grado de incapacidad no sólo en el terreno laboral, sino familiar y social. El incapacitado requiere la ayuda de otra persona para realizar los actos de la vida cotidiana, como asearse, vestirse o desplazarse. 	</w:t>
        <w:br w:type="textWrapping"/>
      </w:r>
      <w:r>
        <w:rPr>
          <w:lang w:val="es-AR" w:eastAsia="es-AR" w:bidi="es-AR"/>
        </w:rPr>
        <w:t xml:space="preserve"> 	En esta línea, la Cámara Nacional Civil ha dicho que: </w:t>
      </w:r>
      <w:r>
        <w:rPr>
          <w:i/>
          <w:lang w:val="es-AR" w:eastAsia="es-AR" w:bidi="es-AR"/>
        </w:rPr>
        <w:t xml:space="preserve">"A fin de determinar el resarcimiento por la incapacidad física (...) por parálisis , debe ponderarse el compromiso de sus aptitudes para la vida en relación, y en particular para actividades laborales que, como irreversible, frustra cualquier posibilidad de obtener ingresos y lo reduce a una dependencia prácticamente absoluta por el resto de su vida"</w:t>
      </w:r>
      <w:r>
        <w:rPr>
          <w:lang w:val="es-AR" w:eastAsia="es-AR" w:bidi="es-AR"/>
        </w:rPr>
        <w:t xml:space="preserve"> (CNCiv, Sala I, 5/10/04, Rep. LL, 2005-905, n° 1280).</w:t>
      </w:r>
    </w:p>
    <w:p>
      <w:pPr>
        <w:pStyle w:val="[Normal]"/>
        <w:spacing w:line="360" w:lineRule="auto"/>
        <w:ind w:firstLine="1134"/>
        <w:jc w:val="both"/>
        <w:rPr>
          <w:lang w:val="es-AR" w:eastAsia="es-AR" w:bidi="es-AR"/>
        </w:rPr>
      </w:pPr>
      <w:r>
        <w:rPr>
          <w:lang w:val="es-AR" w:eastAsia="es-AR" w:bidi="es-AR"/>
        </w:rPr>
        <w:t xml:space="preserve">En orden a su cuantificación, no es ocioso referir que </w:t>
      </w:r>
      <w:r>
        <w:rPr>
          <w:color w:val="000000"/>
          <w:lang w:val="es-AR" w:eastAsia="es-AR" w:bidi="es-AR"/>
        </w:rPr>
        <w:t xml:space="preserve">la incapacidad laborativa entraña la afectación negativa de facultades y aptitudes que gozaba la víctima antes del hecho, las cuales deben ser valoradas teniendo en cuenta sus condiciones personales (</w:t>
      </w:r>
      <w:r>
        <w:rPr>
          <w:lang w:val="es-AR" w:eastAsia="es-AR" w:bidi="es-AR"/>
        </w:rPr>
        <w:t xml:space="preserve">ZAVALA DE GONZALES, Matilde – REQUENA, Claudio M., Valuación del daño patrimonial por incapacidad y pérdida de la vida humana”, en “Comercio y Justicia”, n° 1228, ejemplar del 18/2/99).</w:t>
      </w:r>
      <w:r>
        <w:rPr>
          <w:color w:val="000000"/>
          <w:lang w:val="es-AR" w:eastAsia="es-AR" w:bidi="es-AR"/>
        </w:rPr>
        <w:t xml:space="preserve">	</w:t>
        <w:br w:type="textWrapping"/>
      </w:r>
      <w:r>
        <w:rPr>
          <w:color w:val="000000"/>
          <w:lang w:val="es-AR" w:eastAsia="es-AR" w:bidi="es-AR"/>
        </w:rPr>
        <w:t xml:space="preserve"> 	La ley 22.431 considera incapacitada </w:t>
      </w:r>
      <w:r>
        <w:rPr>
          <w:i/>
          <w:color w:val="000000"/>
          <w:lang w:val="es-AR" w:eastAsia="es-AR" w:bidi="es-AR"/>
        </w:rPr>
        <w:t xml:space="preserve">“a toda persona que padezca un alteración funcional permanente o prolongada, física o mental, que en relación a su edad y medio social implique desventajas considerables para su integración familiar, social, educacional o laboral”</w:t>
      </w:r>
      <w:r>
        <w:rPr>
          <w:color w:val="000000"/>
          <w:lang w:val="es-AR" w:eastAsia="es-AR" w:bidi="es-AR"/>
        </w:rPr>
        <w:t xml:space="preserve"> (art. 2).	</w:t>
        <w:br w:type="textWrapping"/>
      </w:r>
      <w:r>
        <w:rPr>
          <w:color w:val="000000"/>
          <w:lang w:val="es-AR" w:eastAsia="es-AR" w:bidi="es-AR"/>
        </w:rPr>
        <w:t xml:space="preserve"> 	Es precisamente atendiendo a las aptitudes afectadas negativamente que la incapacidad puede ser laborativa o vital. En la primera se toma en cuenta la aptitud productiva del sujeto y sus potencialidades vulneradas. Su límite está dado por la vida útil de suerte que sólo se experimenta desde y hasta cuando se estuviese en condiciones de trabajar: no la sufre todavía un niño (aunque en tal caso debe valorarse la eventual incapacidad laborativa futura) y no puede ya tener esa ineptitud productiva un anciano carente de potencialidad productiva (</w:t>
      </w:r>
      <w:r>
        <w:rPr>
          <w:lang w:val="es-AR" w:eastAsia="es-AR" w:bidi="es-AR"/>
        </w:rPr>
        <w:t xml:space="preserve">PIZARRO, Ramón Daniel, VALLESPINOS, Carlos Gustavo, Instituciones de Derecho Privado. Obligaciones., Tomo IV, Buenos Aires, Ed. Hammurabi, 2008, pag. 299 y ss.)</w:t>
      </w:r>
      <w:r>
        <w:rPr>
          <w:color w:val="000000"/>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Con mayor precisión, y ya posicionados en la plataforma fáctica de la causa, considero que existen bases probatorias firmes y suficientes para tener por acreditada la incapacidad permanente e irreversible de la víctima en un 100%. En respaldo de esta conclusión, me remito al informe pericial producido por la Dra. Silvia Sierra (ver fs. 564/571 y la consecuente respuesta a explicaciones obrante a fs. 588/591) de cuyo tenor surge que: </w:t>
      </w:r>
      <w:r>
        <w:rPr>
          <w:i/>
          <w:lang w:val="es-AR" w:eastAsia="es-AR" w:bidi="es-AR"/>
        </w:rPr>
        <w:t xml:space="preserve">"...el niño Enzo Alvarez es portador de una parálisis cerebral espástica como consecuencia de un episodio hipoxico ocurrido durante la cirujía del 15/12/2007 que motivo su traslado a un Centro de mayor complejidad. Y que le causó una incapacidad física y psíquica de carácter permanente e irreversible. Y que según el Decreto Nacional 659/96, el daño orgánico cerebral con incapacidad de asistencia para el propio cuidado ascendería al 100%". </w:t>
      </w:r>
      <w:r>
        <w:rPr>
          <w:lang w:val="es-AR" w:eastAsia="es-AR" w:bidi="es-AR"/>
        </w:rPr>
        <w:t xml:space="preserve">A ello cabe agregar que la determinación de dicho porcentaje no ha sido objeto de cuestionamiento en el pedido de explicaciones presentado por la codemandada Seguros Médicos S.A. A su vez, los testimonios producidos en la causa (fs. 639/650) son reveladores de un cuadro de situación incapacitante y asistencia externa que se condice con el elevado grado de incapacidad atribuido a la víctima. Y en sentido coincidente también discurre el diagnóstico médico formulado el Dr. Sebastián Argento y el informe de evolución y tratamiento realizado por la Lic. Verónica Fernández, que constan a fs. 24/29 y 33 respectivamente del expediente administrativo n° 2914-28951/09 agregado a la causa: </w:t>
      </w:r>
      <w:r>
        <w:rPr>
          <w:i/>
          <w:lang w:val="es-AR" w:eastAsia="es-AR" w:bidi="es-AR"/>
        </w:rPr>
        <w:t xml:space="preserve">"Couto, Silvina Lorena c/ Ioma s/ Amparo"</w:t>
      </w:r>
      <w:r>
        <w:rPr>
          <w:lang w:val="es-AR" w:eastAsia="es-AR" w:bidi="es-AR"/>
        </w:rPr>
        <w:t xml:space="preserve"> que tramita por ante el Juzgado de ganratías N° 1 de Pergamino.</w:t>
      </w:r>
    </w:p>
    <w:p>
      <w:pPr>
        <w:pStyle w:val="[Normal]"/>
        <w:spacing w:line="360" w:lineRule="auto"/>
        <w:ind w:firstLine="1134"/>
        <w:jc w:val="both"/>
        <w:rPr>
          <w:lang w:val="es-AR" w:eastAsia="es-AR" w:bidi="es-AR"/>
        </w:rPr>
      </w:pPr>
      <w:r>
        <w:rPr>
          <w:lang w:val="es-AR" w:eastAsia="es-AR" w:bidi="es-AR"/>
        </w:rPr>
        <w:t xml:space="preserve">En cuanto al factor edad, cabe tener presente que la víctima tenía  6 años al momento de la producción del hecho generador de responsabilidad  (15/12/2007). Y corresponde adoptar como referencia un término inicial de capacidad laboral útil computado a partir de los 18 años y un término final extensivo hasta los 65 años en consonancia con los antecedentes de este Tribunal (ver causa n° 3740). </w:t>
      </w:r>
    </w:p>
    <w:p>
      <w:pPr>
        <w:pStyle w:val="[Normal]"/>
        <w:spacing w:line="360" w:lineRule="auto"/>
        <w:ind w:firstLine="1134"/>
        <w:jc w:val="both"/>
        <w:rPr>
          <w:lang w:val="es-AR" w:eastAsia="es-AR" w:bidi="es-AR"/>
        </w:rPr>
      </w:pPr>
      <w:r>
        <w:rPr>
          <w:lang w:val="es-AR" w:eastAsia="es-AR" w:bidi="es-AR"/>
        </w:rPr>
        <w:t xml:space="preserve">En cuanto al nivel de ingresos, es preciso establecer como referencia el que surge del salario mínimo, vital y móvil vigente al momento del dictado de la presente sentencia, atento a que ésta es la base con la que en principio corresponde integrar aquellas situaciones de ingresos indeterminados o ausencia de ingresos por minoridad, salvo prueba concreta que permita proyectar una expectativa económica superadora -lo que no consta en la especie-. Sobre este punto, y respondiendo al agravio expresado por la parte apelante en relación a la aplicación de este índice sin pedimento expreso de la accionante, es menester señalar que la Sala II de la Cámara de Apelaciones Civil y Comercial de Mar del Plata ha sostenido que: </w:t>
      </w:r>
      <w:r>
        <w:rPr>
          <w:i/>
          <w:lang w:val="es-AR" w:eastAsia="es-AR" w:bidi="es-AR"/>
        </w:rPr>
        <w:t xml:space="preserve">"Cuando se carece de una pauta económica sobre la cual evaluar la incapacidad, se recurre al salario mínimo vital y móvil como índice orientador ya que es totalmente incierto el monto de los ingresos, y sobre ese monto se obtiene una suma que puede ser apreciada en más o en menos cuando las circunstancias así lo autorizan</w:t>
      </w:r>
      <w:r>
        <w:rPr>
          <w:lang w:val="es-AR" w:eastAsia="es-AR" w:bidi="es-AR"/>
        </w:rPr>
        <w:t xml:space="preserve">" (CC0102 MP., autos "SAUBIDET, ELSA RENÉ C/ EMPRESA DE TRANSPORTE 12 DE OCTUBRE SRL Y OTRO S/ DAÑOS Y PERJUICIOS", CC0102 MP 160665 299-S S, 29/11/2016; Sumario Juba:B5025405).-	</w:t>
        <w:br w:type="textWrapping"/>
      </w:r>
      <w:r>
        <w:rPr>
          <w:lang w:val="es-AR" w:eastAsia="es-AR" w:bidi="es-AR"/>
        </w:rPr>
        <w:t xml:space="preserve"> 	El valor del SMVyM que ha de fijarse como base de cálculo asciende al importe $ 21.600. Tal información además de ser pública y notoria, se presume conocida por todos en tanto que surge de normativa dictada al efecto por el CONSEJO NAC DEL EMPLEO PRODUCTIVIDAD Y EL SALARIO M.V.Y M, del   MINISTERIO DE TRABAJO, EMPLEO Y SEGURIDAD SOCIAL, con su correspondiente publicación en el Boletín Oficial, y es el valor consignado en sentencia, por lo que el agravio carece de fundamento (arts. 4 y 5 Cód.C.yC) (http://servicios.infoleg.gob.ar/infolegInternet/anexos/245000-249999/249538/norma.htm).</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jc w:val="both"/>
        <w:rPr>
          <w:lang w:val="es-AR" w:eastAsia="es-AR" w:bidi="es-AR"/>
        </w:rPr>
      </w:pPr>
      <w:r>
        <w:rPr>
          <w:lang w:val="es-AR" w:eastAsia="es-AR" w:bidi="es-AR"/>
        </w:rPr>
        <w:t xml:space="preserve"> 	En base a estos parámetros, corresponde elevar el rubro daño por incapacidad en la suma de </w:t>
      </w:r>
      <w:r>
        <w:rPr>
          <w:b/>
          <w:lang w:val="es-AR" w:eastAsia="es-AR" w:bidi="es-AR"/>
        </w:rPr>
        <w:t xml:space="preserve">$ </w:t>
      </w:r>
      <w:r>
        <w:rPr>
          <w:b/>
          <w:color w:val="000000"/>
          <w:lang w:val="es-AR" w:eastAsia="es-AR" w:bidi="es-AR"/>
        </w:rPr>
        <w:t xml:space="preserve">4.040.676.</w:t>
      </w:r>
      <w:r>
        <w:rPr>
          <w:color w:val="000000"/>
          <w:lang w:val="es-AR" w:eastAsia="es-AR" w:bidi="es-AR"/>
        </w:rPr>
        <w:t xml:space="preserve"> En respaldo de dicho guarismo, agrego fórmula de cálcula en archivo adjunto a la sentencia en base a los datos obtenidos </w:t>
      </w:r>
      <w:r>
        <w:rPr>
          <w:i/>
          <w:color w:val="000000"/>
          <w:lang w:val="es-AR" w:eastAsia="es-AR" w:bidi="es-AR"/>
        </w:rPr>
        <w:t xml:space="preserve">ut supra</w:t>
      </w:r>
      <w:r>
        <w:rPr>
          <w:color w:val="000000"/>
          <w:lang w:val="es-AR" w:eastAsia="es-AR" w:bidi="es-AR"/>
        </w:rPr>
        <w:t xml:space="preserve">.	</w:t>
        <w:br w:type="textWrapping"/>
      </w:r>
      <w:r>
        <w:rPr>
          <w:color w:val="000000"/>
          <w:lang w:val="es-AR" w:eastAsia="es-AR" w:bidi="es-AR"/>
        </w:rPr>
        <w:t xml:space="preserve"> 	Me apresuro en aclarar que esta Cámara se ha inclinado por un temperamento amplio y flexible a la hora de apreciar el cumplimiento del principio de congruencia en relación al monto nominal peticionado en demanda, relevando a la actora del acatamiento de ciertas exigencias textuales o ritualistas. En la causa </w:t>
      </w:r>
      <w:r>
        <w:rPr>
          <w:i/>
          <w:color w:val="000000"/>
          <w:lang w:val="es-AR" w:eastAsia="es-AR" w:bidi="es-AR"/>
        </w:rPr>
        <w:t xml:space="preserve">"Gauna Veronica Del Carmen C/ Ruiz Diaz Andrea Paola Y Otro/A S/Daños Y Perj.Autom. C/Les. O Muerte (Exc.Estado)" </w:t>
      </w:r>
      <w:r>
        <w:rPr>
          <w:color w:val="000000"/>
          <w:lang w:val="es-AR" w:eastAsia="es-AR" w:bidi="es-AR"/>
        </w:rPr>
        <w:t xml:space="preserve">(causa N° 3352-18, sentencia del 13-12-2018), el actor no había pedido expresamente la fijación del valor del daño a valores actuales, empero los magistrados estimaron que de los términos de la demanda resultaba razonable tal inferencia: </w:t>
      </w:r>
      <w:r>
        <w:rPr>
          <w:i/>
          <w:color w:val="000000"/>
          <w:lang w:val="es-AR" w:eastAsia="es-AR" w:bidi="es-AR"/>
        </w:rPr>
        <w:t xml:space="preserve">“…si bien en la demanda la accionante solicitó una suma menor por los rubros, debo tener en cuenta que al peticionar aquella manifestó que estimaba la suma reclamada, agregando la frase: ´...  o lo que en más o en menos resulte de la prueba a rendirse en autos...´ y ´... con más las actualizaciones e intereses ..."( fs 7 y 7 Vta.).  Por  lo cual , el otorgar una cifra mayor  como propongo no viola la congruencia ( art. 165 CPC.), en tanto que ´... No media infracción legal aun cuando la sentencia otorgue una indemnización mayor a la reclamada en la demanda si en ésta quedó aquélla librada a lo que, "en más o en menos", resulte de la prueba (art. 163 inc. 6, C.P.C.)...". 	</w:t>
        <w:br w:type="textWrapping"/>
      </w:r>
      <w:r>
        <w:rPr>
          <w:i/>
          <w:color w:val="000000"/>
          <w:lang w:val="es-AR" w:eastAsia="es-AR" w:bidi="es-AR"/>
        </w:rPr>
        <w:t xml:space="preserve"> 	</w:t>
      </w:r>
      <w:r>
        <w:rPr>
          <w:color w:val="000000"/>
          <w:lang w:val="es-AR" w:eastAsia="es-AR" w:bidi="es-AR"/>
        </w:rPr>
        <w:t xml:space="preserve">Es cierto que el postulado de la congruencia adquiere particular relevancia por su correlación con el principio de bilateralidad (o garantía constitucional de la defensa en juicio) pues si la pretensión o los hechos no han sido materia de debate, prueba y contralor por la contraria, el juez afectaría - en principio- la garantía de la defensa al pronunciarse sobre una pretensión no deducida o sobre hechos ajenos al proceso o si condenara a quien no ha tenido oportunidad de defensa y prueba. 	 	</w:t>
        <w:br w:type="textWrapping"/>
      </w:r>
      <w:r>
        <w:rPr>
          <w:color w:val="000000"/>
          <w:lang w:val="es-AR" w:eastAsia="es-AR" w:bidi="es-AR"/>
        </w:rPr>
        <w:t xml:space="preserve"> 	Sin embargo, y tal como advierte Mabel de los Santos, la misión del juzgador es asegurar la efectividad del derecho en su integridad, así como de las garantías constitucionales en su conjunto, mandato que impone, en algunas situaciones, flexibilizar la congruencia (vale decir, hacer una excepción a este postulado), siempre que se asegure la bilateralidad, con el objeto de acordar una solución mejor y más justa al conflicto, preservando así otras garantías vinculadas al debido proceso adjetivo (</w:t>
      </w:r>
      <w:r>
        <w:rPr>
          <w:lang w:val="es-AR" w:eastAsia="es-AR" w:bidi="es-AR"/>
        </w:rPr>
        <w:t xml:space="preserve">V</w:t>
      </w:r>
      <w:r>
        <w:rPr>
          <w:color w:val="000000"/>
          <w:lang w:val="es-AR" w:eastAsia="es-AR" w:bidi="es-AR"/>
        </w:rPr>
        <w:t xml:space="preserve">er DE LOS SANTOS, Mabel, Flexibilización de la congruencia civil. Muestreo jurisprudencial, </w:t>
      </w:r>
      <w:r>
        <w:rPr>
          <w:rStyle w:val="Hyperlink"/>
          <w:rFonts w:ascii="Arial" w:hAnsi="Arial" w:eastAsia="Arial" w:cs="Arial"/>
          <w:color w:val="auto"/>
          <w:lang w:val="es-AR" w:eastAsia="es-AR" w:bidi="es-AR"/>
        </w:rPr>
        <w:fldChar w:fldCharType="begin"/>
      </w:r>
      <w:r>
        <w:rPr>
          <w:rStyle w:val="Hyperlink"/>
          <w:rFonts w:ascii="Arial" w:hAnsi="Arial" w:eastAsia="Arial" w:cs="Arial"/>
          <w:color w:val="auto"/>
          <w:lang w:val="es-AR" w:eastAsia="es-AR" w:bidi="es-AR"/>
        </w:rPr>
        <w:instrText xml:space="preserve"> HYPERLINK "http://facultad.pucp.edu.pe/derecho/wp-content/uploads/2015/04/FelexibilizaciÃ³n-de-la-congruencia-civil.-Muestro-jurisprudencial-DE-LOS-SANTOS-M.-.pdf" </w:instrText>
      </w:r>
      <w:r>
        <w:rPr>
          <w:rStyle w:val="Hyperlink"/>
          <w:rFonts w:ascii="Arial" w:hAnsi="Arial" w:eastAsia="Arial" w:cs="Arial"/>
          <w:color w:val="auto"/>
          <w:lang w:val="es-AR" w:eastAsia="es-AR" w:bidi="es-AR"/>
        </w:rPr>
        <w:fldChar w:fldCharType="separate"/>
      </w:r>
      <w:r>
        <w:rPr>
          <w:rStyle w:val="Hyperlink"/>
          <w:rFonts w:ascii="Arial" w:hAnsi="Arial" w:eastAsia="Arial" w:cs="Arial"/>
          <w:color w:val="auto"/>
          <w:lang w:val="es-AR" w:eastAsia="es-AR" w:bidi="es-AR"/>
        </w:rPr>
        <w:t xml:space="preserve">http://facultad.pucp.edu.pe/derecho/wp-content/uploads/2015/04/Felexibilizaci%C3%B3n-de-la-congruencia-civil.-Muestro-jurisprudencial-DE-LOS-SANTOS-M.-.pdf</w:t>
      </w:r>
      <w:r>
        <w:rPr>
          <w:lang w:val="es-AR" w:eastAsia="es-AR" w:bidi="es-AR"/>
        </w:rPr>
        <w:fldChar w:fldCharType="end"/>
      </w:r>
      <w:r>
        <w:rPr>
          <w:lang w:val="es-AR" w:eastAsia="es-AR" w:bidi="es-AR"/>
        </w:rPr>
        <w:t xml:space="preserve">).</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jc w:val="both"/>
        <w:rPr>
          <w:color w:val="000000"/>
          <w:lang w:val="es-AR" w:eastAsia="es-AR" w:bidi="es-AR"/>
        </w:rPr>
      </w:pPr>
      <w:r>
        <w:rPr>
          <w:color w:val="000000"/>
          <w:lang w:val="es-AR" w:eastAsia="es-AR" w:bidi="es-AR"/>
        </w:rPr>
        <w:t xml:space="preserve">	 En materia de daños, y con base en el principio de indemnización integral, encontramos destacados precedentes judiciales a tenor de los cuales los magistrados han sabido hacer prudente aplicación de la flexibilización de la congruencia.	 </w:t>
        <w:br w:type="textWrapping"/>
      </w:r>
      <w:r>
        <w:rPr>
          <w:color w:val="000000"/>
          <w:lang w:val="es-AR" w:eastAsia="es-AR" w:bidi="es-AR"/>
        </w:rPr>
        <w:t xml:space="preserve"> 	En un reclamo resarcitorio de daños en el que el actor omitió expresamente solicitar intereses sobre las sumas indemnizatorias, la Sala M de la Cámara Nacional Civil entendió que más allá de la omisión, la lectura del escrito de demanda permitía concluir que la parte actora postulaba la obtención de una reparación integral de los perjuicios ocasionados por el acto ilícito, pues reclamaba la reparación de las pérdidas sufridas y la utilidad que se había dejado de obtener. Se sustentó la decisión en que el art. 1069 del CC establece que el daño </w:t>
      </w:r>
      <w:r>
        <w:rPr>
          <w:i/>
          <w:color w:val="000000"/>
          <w:lang w:val="es-AR" w:eastAsia="es-AR" w:bidi="es-AR"/>
        </w:rPr>
        <w:t xml:space="preserve">“comprende no sólo el perjuicio efectivamente sufrido, sino también la ganancia de que fue privado el damnificado por el acto ilícito y que en este Código se designa por las palabras pérdidas e intereses”</w:t>
      </w:r>
      <w:r>
        <w:rPr>
          <w:color w:val="000000"/>
          <w:lang w:val="es-AR" w:eastAsia="es-AR" w:bidi="es-AR"/>
        </w:rPr>
        <w:t xml:space="preserve">  (</w:t>
      </w:r>
      <w:r>
        <w:rPr>
          <w:lang w:val="es-AR" w:eastAsia="es-AR" w:bidi="es-AR"/>
        </w:rPr>
        <w:t xml:space="preserve">Cf. </w:t>
      </w:r>
      <w:r>
        <w:rPr>
          <w:color w:val="000000"/>
          <w:lang w:val="es-AR" w:eastAsia="es-AR" w:bidi="es-AR"/>
        </w:rPr>
        <w:t xml:space="preserve">CNCiv., Sala M, “Matuk, Alicia S. c. Transporte Automotor Riachuelo S.A. y otro”, 21/10/2006, Rev. La Ley del 22/2/2007).		 </w:t>
        <w:br w:type="textWrapping"/>
      </w:r>
      <w:r>
        <w:rPr>
          <w:color w:val="000000"/>
          <w:lang w:val="es-AR" w:eastAsia="es-AR" w:bidi="es-AR"/>
        </w:rPr>
        <w:t xml:space="preserve"> 	En la sentencia referida el tribunal consideró que admitir en tales circunstancias los intereses, dado que los mismos tienen por finalidad compensar la demora en el pago de la indemnización de los daños causados por el ilícito, no implicaba afectación alguna de la defensa en juicio al no haberse bilateralizado desde el origen la pretensión por no haber sido éstos solicitados de modo expreso. Ello así con fundamento en que el cómputo de éstos no requiere de prueba, su procedencia es inequívoca y el arranque de su cómputo se encuentra determinado por la fecha del ilícito o desde que se produce cada perjuicio objeto de la reparación.	</w:t>
      </w:r>
      <w:r>
        <w:rPr>
          <w:lang w:val="es-AR" w:eastAsia="es-AR" w:bidi="es-AR"/>
        </w:rPr>
        <w:br w:type="textWrapping"/>
      </w:r>
      <w:r>
        <w:rPr>
          <w:color w:val="000000"/>
          <w:lang w:val="es-AR" w:eastAsia="es-AR" w:bidi="es-AR"/>
        </w:rPr>
        <w:t xml:space="preserve">	Y, en puntual referencia a este caso, la Sala K de la Cámara Nacional Civil sostuvo que: </w:t>
      </w:r>
      <w:r>
        <w:rPr>
          <w:i/>
          <w:color w:val="000000"/>
          <w:lang w:val="es-AR" w:eastAsia="es-AR" w:bidi="es-AR"/>
        </w:rPr>
        <w:t xml:space="preserve">“La posibilidad de acordar una suma indemnizatoria superior a la peticionada por un reclamo dependiente de prueba cuando se ha sujetado el pedido a “lo que en más o menos resulte de la prueba”</w:t>
      </w:r>
      <w:r>
        <w:rPr>
          <w:color w:val="000000"/>
          <w:lang w:val="es-AR" w:eastAsia="es-AR" w:bidi="es-AR"/>
        </w:rPr>
        <w:t xml:space="preserve"> (Ver CNCiv., sala K, 23/5/2003, “Ponce de Antico c/ Carrefour Argentina S.A, D.J. 2003/08/27, DJ, 2003-2, 1123).	</w:t>
      </w:r>
      <w:r>
        <w:rPr>
          <w:lang w:val="es-AR" w:eastAsia="es-AR" w:bidi="es-AR"/>
        </w:rPr>
        <w:br w:type="textWrapping"/>
      </w:r>
      <w:r>
        <w:rPr>
          <w:color w:val="000000"/>
          <w:lang w:val="es-AR" w:eastAsia="es-AR" w:bidi="es-AR"/>
        </w:rPr>
        <w:t xml:space="preserve">	IV.- Daño psicológico.</w:t>
      </w:r>
    </w:p>
    <w:p>
      <w:pPr>
        <w:pStyle w:val="contentap"/>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line="360" w:lineRule="auto"/>
        <w:jc w:val="both"/>
        <w:rPr>
          <w:rFonts w:ascii="Arial" w:hAnsi="Arial" w:eastAsia="Arial" w:cs="Arial"/>
          <w:b/>
          <w:lang w:val="es-AR" w:eastAsia="es-AR" w:bidi="es-AR"/>
        </w:rPr>
      </w:pPr>
      <w:r>
        <w:rPr>
          <w:rFonts w:ascii="Arial" w:hAnsi="Arial" w:eastAsia="Arial" w:cs="Arial"/>
          <w:lang w:val="es-AR" w:eastAsia="es-AR" w:bidi="es-AR"/>
        </w:rPr>
        <w:t xml:space="preserve"> 	En relación a la estimación de este rubro, he de partir de una base conceptual y jurídicamente diferente a la utilizada por el Juez de grado.	</w:t>
        <w:br w:type="textWrapping"/>
      </w:r>
      <w:r>
        <w:rPr>
          <w:rFonts w:ascii="Arial" w:hAnsi="Arial" w:eastAsia="Arial" w:cs="Arial"/>
          <w:lang w:val="es-AR" w:eastAsia="es-AR" w:bidi="es-AR"/>
        </w:rPr>
        <w:t xml:space="preserve"> 	En perspectiva sistémica, es menester puntualizar que no existe un tercer género de daños distintos del perjuicio patrimonial y moral. Así pues, la integridad psicofísica nunca es resarcible por sí misma, ni su minoración constituye un tercer género indemnizable, al lado del daño patrimonial y moral.	</w:t>
        <w:br w:type="textWrapping"/>
      </w:r>
      <w:r>
        <w:rPr>
          <w:rFonts w:ascii="Arial" w:hAnsi="Arial" w:eastAsia="Arial" w:cs="Arial"/>
          <w:lang w:val="es-AR" w:eastAsia="es-AR" w:bidi="es-AR"/>
        </w:rPr>
        <w:t xml:space="preserve">	Tanto la normativa del Código de Vélez (arts. 1068 y 1078) como la correspondiente al Código Civil y Comercial (1738 y 1741) son claras y no dejan resquicio para la duda. El daño sólo puede ser patrimonial o moral -relacionado con las consecuencias no patrimoniales-. Por lo que deben descartarse pretendidas nuevas categorías de daño indemnizable cuya formulación con visos de autonomía únicamente puede ser concebida a partir de serios desenfoques del concepto de daño patrimonial y moral.	</w:t>
        <w:br w:type="textWrapping"/>
      </w:r>
      <w:r>
        <w:rPr>
          <w:rFonts w:ascii="Arial" w:hAnsi="Arial" w:eastAsia="Arial" w:cs="Arial"/>
          <w:lang w:val="es-AR" w:eastAsia="es-AR" w:bidi="es-AR"/>
        </w:rPr>
        <w:t xml:space="preserve"> 	Las pretendidas insuficiencias que se le imputan al sistema bipartito tradicional obedecen por lo general a evidentes errores conceptuales. Quienes valoran el daño a la persona como pretendida categoría autónoma de daño extrapatrimonial suelen incurrir en una concepción reduccionista del daño moral como una noción circunscripta al </w:t>
      </w:r>
      <w:r>
        <w:rPr>
          <w:rFonts w:ascii="Arial" w:hAnsi="Arial" w:eastAsia="Arial" w:cs="Arial"/>
          <w:i/>
          <w:lang w:val="es-AR" w:eastAsia="es-AR" w:bidi="es-AR"/>
        </w:rPr>
        <w:t xml:space="preserve">“precio del dolor” </w:t>
      </w:r>
      <w:r>
        <w:rPr>
          <w:rFonts w:ascii="Arial" w:hAnsi="Arial" w:eastAsia="Arial" w:cs="Arial"/>
          <w:lang w:val="es-AR" w:eastAsia="es-AR" w:bidi="es-AR"/>
        </w:rPr>
        <w:t xml:space="preserve">que se limita al sufrimiento que vivencia el damnificado como padecimiento temporario y mitigable con el transcurso del tiempo. Así, por ejemplo, se ignora que el daño moral puede ser no sólo temporario sino también permanente, lo que permita prescindir de categorías autónomas ideadas al solo efecto de captar esa proyección definitiva del daño, tales como el daño psíquico irreversible. O también están quienes desconocen que el daño moral pueden manifestarse no sólo como daño actual sino también futuro, y entonces proponen categorías autónomas como el daño al proyecto de vida (BUSNELLI, Francesco D., “Problemas de la clasificación sistemática del daño a la persona”, en Daños, Buenos Aires, Ed. Depalma, 1991, pag. 35). </w:t>
        <w:br w:type="textWrapping"/>
      </w:r>
      <w:r>
        <w:rPr>
          <w:rFonts w:ascii="Arial" w:hAnsi="Arial" w:eastAsia="Arial" w:cs="Arial"/>
          <w:lang w:val="es-AR" w:eastAsia="es-AR" w:bidi="es-AR"/>
        </w:rPr>
        <w:t xml:space="preserve"> 	Finalmente, no puedo dejar de advertir los riesgos prácticos derivados de la proliferación sistémica de nuevas formas de dañosidad, señalando la posibilidad de que bajo diferentes denominaciones terminen mandándose a resarcir varias veces un mismo daño, lo cual aparece reñido con el buen sentido jurídico. Se trata, en definitiva, de evitar la anarquía normativa que supondría admitir múltiples categorías de daños resarcibles inconexas y de difícil armonización desde el momento en que parten de nociones conceptuales distintas.	</w:t>
        <w:br w:type="textWrapping"/>
      </w:r>
      <w:r>
        <w:rPr>
          <w:rFonts w:ascii="Arial" w:hAnsi="Arial" w:eastAsia="Arial" w:cs="Arial"/>
          <w:lang w:val="es-AR" w:eastAsia="es-AR" w:bidi="es-AR"/>
        </w:rPr>
        <w:t xml:space="preserve"> 	En esta línea, la Suprema Corte de Justicia de Mendoza, con voto de la Dra. Kemelmajer de Carlucci, ha sostenido reiteradamente que </w:t>
      </w:r>
      <w:r>
        <w:rPr>
          <w:rFonts w:ascii="Arial" w:hAnsi="Arial" w:eastAsia="Arial" w:cs="Arial"/>
          <w:i/>
          <w:lang w:val="es-AR" w:eastAsia="es-AR" w:bidi="es-AR"/>
        </w:rPr>
        <w:t xml:space="preserve">“cualquiera sea el nomen iuris bajo el que se encuadre el daño, lo relevante es que si ya se computa la pérdida patrimonial del sujeto (o el período tenido en vista), no se confiera como indemnización autónoma el de otro daño económico de similar sustancia y por análogo motivo. De lo contrario, se configuraría una injustificada duplicidad resarcitoria  por el mismo título”</w:t>
      </w:r>
      <w:r>
        <w:rPr>
          <w:rFonts w:ascii="Arial" w:hAnsi="Arial" w:eastAsia="Arial" w:cs="Arial"/>
          <w:lang w:val="es-AR" w:eastAsia="es-AR" w:bidi="es-AR"/>
        </w:rPr>
        <w:t xml:space="preserve"> (SC Mendoza, Sala I, 16/3/95, </w:t>
      </w:r>
      <w:r>
        <w:rPr>
          <w:rFonts w:ascii="Arial" w:hAnsi="Arial" w:eastAsia="Arial" w:cs="Arial"/>
          <w:i/>
          <w:lang w:val="es-AR" w:eastAsia="es-AR" w:bidi="es-AR"/>
        </w:rPr>
        <w:t xml:space="preserve">“Belgrano Soc. Coop. Ltda. de Seg. O otra en Cerrutti, Olguín A. c José Capel s/ Daños y perjuicios,”</w:t>
      </w:r>
      <w:r>
        <w:rPr>
          <w:rFonts w:ascii="Arial" w:hAnsi="Arial" w:eastAsia="Arial" w:cs="Arial"/>
          <w:lang w:val="es-AR" w:eastAsia="es-AR" w:bidi="es-AR"/>
        </w:rPr>
        <w:t xml:space="preserve"> en Jurisprudencia de Mendoza, oct. 1995, pag. 26).	</w:t>
        <w:br w:type="textWrapping"/>
      </w:r>
      <w:r>
        <w:rPr>
          <w:rFonts w:ascii="Arial" w:hAnsi="Arial" w:eastAsia="Arial" w:cs="Arial"/>
          <w:lang w:val="es-AR" w:eastAsia="es-AR" w:bidi="es-AR"/>
        </w:rPr>
        <w:t xml:space="preserve"> 	En síntesis, el sistema iusprivatista argentino solamente contempla dos categorías de daños indemnizables: el daño patrimonial y el daño moral o de las consecuencias no patrimoniales. Las lesiones a la integridad psicofísica o a otros bienes de la persona constituyen formas de lesividad (daños de hecho), que pueden generar daño patrimonial o no patrimonial, según la índole de los intereses afectados y de las proyecciones patrimoniales o espirituales de sus consecuencias.	</w:t>
        <w:br w:type="textWrapping"/>
      </w:r>
      <w:r>
        <w:rPr>
          <w:rFonts w:ascii="Arial" w:hAnsi="Arial" w:eastAsia="Arial" w:cs="Arial"/>
          <w:lang w:val="es-AR" w:eastAsia="es-AR" w:bidi="es-AR"/>
        </w:rPr>
        <w:t xml:space="preserve"> 	Con todo, es vital aclarar que la utilización de las locuciones </w:t>
      </w:r>
      <w:r>
        <w:rPr>
          <w:rFonts w:ascii="Arial" w:hAnsi="Arial" w:eastAsia="Arial" w:cs="Arial"/>
          <w:i/>
          <w:lang w:val="es-AR" w:eastAsia="es-AR" w:bidi="es-AR"/>
        </w:rPr>
        <w:t xml:space="preserve">“daño estético”</w:t>
      </w:r>
      <w:r>
        <w:rPr>
          <w:rFonts w:ascii="Arial" w:hAnsi="Arial" w:eastAsia="Arial" w:cs="Arial"/>
          <w:lang w:val="es-AR" w:eastAsia="es-AR" w:bidi="es-AR"/>
        </w:rPr>
        <w:t xml:space="preserve">, </w:t>
      </w:r>
      <w:r>
        <w:rPr>
          <w:rFonts w:ascii="Arial" w:hAnsi="Arial" w:eastAsia="Arial" w:cs="Arial"/>
          <w:i/>
          <w:lang w:val="es-AR" w:eastAsia="es-AR" w:bidi="es-AR"/>
        </w:rPr>
        <w:t xml:space="preserve">“daño psíquico”</w:t>
      </w:r>
      <w:r>
        <w:rPr>
          <w:rFonts w:ascii="Arial" w:hAnsi="Arial" w:eastAsia="Arial" w:cs="Arial"/>
          <w:lang w:val="es-AR" w:eastAsia="es-AR" w:bidi="es-AR"/>
        </w:rPr>
        <w:t xml:space="preserve">, </w:t>
      </w:r>
      <w:r>
        <w:rPr>
          <w:rFonts w:ascii="Arial" w:hAnsi="Arial" w:eastAsia="Arial" w:cs="Arial"/>
          <w:i/>
          <w:lang w:val="es-AR" w:eastAsia="es-AR" w:bidi="es-AR"/>
        </w:rPr>
        <w:t xml:space="preserve">“daño por incapacidad”</w:t>
      </w:r>
      <w:r>
        <w:rPr>
          <w:rFonts w:ascii="Arial" w:hAnsi="Arial" w:eastAsia="Arial" w:cs="Arial"/>
          <w:lang w:val="es-AR" w:eastAsia="es-AR" w:bidi="es-AR"/>
        </w:rPr>
        <w:t xml:space="preserve">, etc. para describir formas de dañosidad patrimonial y moral no autónomas no sólo resulta válida y compatible con el sistema actual, sino también absolutamente conveniente para expresar todas las facetas y componentes que integran estos dos rubros resarcitorios y, de tal modo, compeler a los tribunales a pronunciarse específicamente sobre ellos y su impacto en la extensión del daño resarcible.	</w:t>
        <w:br w:type="textWrapping"/>
      </w:r>
      <w:r>
        <w:rPr>
          <w:rFonts w:ascii="Arial" w:hAnsi="Arial" w:eastAsia="Arial" w:cs="Arial"/>
          <w:lang w:val="es-AR" w:eastAsia="es-AR" w:bidi="es-AR"/>
        </w:rPr>
        <w:t xml:space="preserve"> 	La utilidad del procedimiento no transita por reconocer rubros resarcitorios autónomos, sino por contemplar diversas formas de lesividad o daños de hecho para poder ponderar discriminadamente los efectos patrimoniales y no patrimoniales que derivan de la conculcación a intereses de tal índole. De este modo, se evita que dentro de la cuenta global se dupliquen o diluyan los distintos aspectos constitutivos del daño indemnizable, al tiempo que se posibilita un mejor control de los alcances del fallo. En esta línea, Vázquez Ferreyra sostiene que: </w:t>
      </w:r>
      <w:r>
        <w:rPr>
          <w:rFonts w:ascii="Arial" w:hAnsi="Arial" w:eastAsia="Arial" w:cs="Arial"/>
          <w:i/>
          <w:lang w:val="es-AR" w:eastAsia="es-AR" w:bidi="es-AR"/>
        </w:rPr>
        <w:t xml:space="preserve">“cuando llega el momento de fijar la cuantía de la indemnización del daño patrimonial y moral, aquí sí cobra importancia el análisis de la lesión estética, pues se trata de un rubro más a tener en cuenta en cada tipo de daño para establecer su magnitud. De esta manera, los jueces no deberían fijar indemnizaciones globales –como muchas veces se hace- sino que en aras de dar una mayor garantía a los litigantes, es conveniente que tanto el daño patrimonial como no patrimonial se descomponga en todos los ítems –daño en sentido naturalístico- que han sido tenidos en cuenta”</w:t>
      </w:r>
      <w:r>
        <w:rPr>
          <w:rFonts w:ascii="Arial" w:hAnsi="Arial" w:eastAsia="Arial" w:cs="Arial"/>
          <w:lang w:val="es-AR" w:eastAsia="es-AR" w:bidi="es-AR"/>
        </w:rPr>
        <w:t xml:space="preserve"> .	</w:t>
        <w:br w:type="textWrapping"/>
      </w:r>
      <w:r>
        <w:rPr>
          <w:rFonts w:ascii="Arial" w:hAnsi="Arial" w:eastAsia="Arial" w:cs="Arial"/>
          <w:lang w:val="es-AR" w:eastAsia="es-AR" w:bidi="es-AR"/>
        </w:rPr>
        <w:t xml:space="preserve">	A saber, el daño moral reasume a la lesión psicológica como un factor agravante de la afectación de la esfera extrapatrimonial del sujeto. Es que, aún cuando la ausencia de daño psicológico no obsta a la configuración de daño moral, resulta altamente probable que su verificación en el caso concreto gravitará como un factor agravante de su extensión.	</w:t>
        <w:br w:type="textWrapping"/>
      </w:r>
      <w:r>
        <w:rPr>
          <w:rFonts w:ascii="Arial" w:hAnsi="Arial" w:eastAsia="Arial" w:cs="Arial"/>
          <w:lang w:val="es-AR" w:eastAsia="es-AR" w:bidi="es-AR"/>
        </w:rPr>
        <w:t xml:space="preserve">  	La conclusión precedente deviene como corolario lógico de una interpretación sistémica del ordenamiento jurídico en el marco del diálogo de fuentes entendido como método interpretativo armonizador que, evitando la exclusión de unas normas por otras, posibilita la aplicación simultánea, coherente y coordinada de fuentes normativas convergentes (cf. art. 2 del CCyC).	 	</w:t>
        <w:br w:type="textWrapping"/>
      </w:r>
      <w:r>
        <w:rPr>
          <w:rFonts w:ascii="Arial" w:hAnsi="Arial" w:eastAsia="Arial" w:cs="Arial"/>
          <w:lang w:val="es-AR" w:eastAsia="es-AR" w:bidi="es-AR"/>
        </w:rPr>
        <w:t xml:space="preserve"> 	Como consecuencia lógica de lo anterior,  y admitiendo parcialmente la crítica expresada por las codemandadas en punto a una supuesta duplicidad resarcitoria, entiendo que lo que en la sentencia de grado se ha dado en denominar </w:t>
      </w:r>
      <w:r>
        <w:rPr>
          <w:rFonts w:ascii="Arial" w:hAnsi="Arial" w:eastAsia="Arial" w:cs="Arial"/>
          <w:i/>
          <w:lang w:val="es-AR" w:eastAsia="es-AR" w:bidi="es-AR"/>
        </w:rPr>
        <w:t xml:space="preserve">"daño psicológico"</w:t>
      </w:r>
      <w:r>
        <w:rPr>
          <w:rFonts w:ascii="Arial" w:hAnsi="Arial" w:eastAsia="Arial" w:cs="Arial"/>
          <w:lang w:val="es-AR" w:eastAsia="es-AR" w:bidi="es-AR"/>
        </w:rPr>
        <w:t xml:space="preserve"> debe limitarse al resarcimiento del costo del tratamiento psicológico indicado para los progenitores en tanto componente integrativo del daño patrimonial. En tanto que las consecuencias derivadas de las modificación disvaliosa del espíritu en su capacidad de ser, pensar, sentir deben ser valoradas y ponderadas como componente constitutivo del daño moral al momento de determinarse dicho rubro.	</w:t>
        <w:br w:type="textWrapping"/>
      </w:r>
      <w:r>
        <w:rPr>
          <w:rFonts w:ascii="Arial" w:hAnsi="Arial" w:eastAsia="Arial" w:cs="Arial"/>
          <w:lang w:val="es-AR" w:eastAsia="es-AR" w:bidi="es-AR"/>
        </w:rPr>
        <w:t xml:space="preserve"> 	Atento a ello, y tomando como referencia el costo medio de plaza de la sesión psicológica informada por la perito Lic. María Teresa Perez Delbene en pericia psicológica de fecha 18 de Septiembre de 2013 -como referencia de valor más próxima a sentencia- y la frecuencia indicada de tratamiento para los Sres. Alberto Alvarez y Silvina Couto -una sesión semanal durante 10 meses- a fin de abordar el trastorno adaptativo crónico con ánimo depresivo de los nombrados, entiendo que la indemnización que corresponde establecer en favor de éstos ha de limitarse a la</w:t>
      </w:r>
      <w:r>
        <w:rPr>
          <w:rFonts w:ascii="Arial" w:hAnsi="Arial" w:eastAsia="Arial" w:cs="Arial"/>
          <w:b/>
          <w:lang w:val="es-AR" w:eastAsia="es-AR" w:bidi="es-AR"/>
        </w:rPr>
        <w:t xml:space="preserve"> </w:t>
      </w:r>
      <w:r>
        <w:rPr>
          <w:rFonts w:ascii="Arial" w:hAnsi="Arial" w:eastAsia="Arial" w:cs="Arial"/>
          <w:lang w:val="es-AR" w:eastAsia="es-AR" w:bidi="es-AR"/>
        </w:rPr>
        <w:t xml:space="preserve">suma de</w:t>
      </w:r>
      <w:r>
        <w:rPr>
          <w:rFonts w:ascii="Arial" w:hAnsi="Arial" w:eastAsia="Arial" w:cs="Arial"/>
          <w:b/>
          <w:lang w:val="es-AR" w:eastAsia="es-AR" w:bidi="es-AR"/>
        </w:rPr>
        <w:t xml:space="preserve"> $4.500 para cada uno de ellos</w:t>
      </w:r>
      <w:r>
        <w:rPr>
          <w:rFonts w:ascii="Arial" w:hAnsi="Arial" w:eastAsia="Arial" w:cs="Arial"/>
          <w:lang w:val="es-AR" w:eastAsia="es-AR" w:bidi="es-AR"/>
        </w:rPr>
        <w:t xml:space="preserve">. En tanto que el monto que corresponde otorgar a la víctima Enzo Alvarez en virtud de este concepto, teniendo en cuenta el carácter total e irreversible de la incapacidad y la necesidad permanente de este tipo de asistencia (ver fs. 564/571 y la consecuente respuesta a explicaciones obrante a fs. 588/591), ha de quedar cifrado en la suma de </w:t>
      </w:r>
      <w:r>
        <w:rPr>
          <w:rFonts w:ascii="Arial" w:hAnsi="Arial" w:eastAsia="Arial" w:cs="Arial"/>
          <w:b/>
          <w:lang w:val="es-AR" w:eastAsia="es-AR" w:bidi="es-AR"/>
        </w:rPr>
        <w:t xml:space="preserve">$ 300.000. </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160" w:line="360" w:lineRule="auto"/>
        <w:jc w:val="both"/>
        <w:rPr>
          <w:rFonts w:ascii="Arial" w:hAnsi="Arial" w:eastAsia="Arial" w:cs="Arial"/>
          <w:i/>
          <w:lang w:val="es-AR" w:eastAsia="es-AR" w:bidi="es-AR"/>
        </w:rPr>
      </w:pPr>
      <w:r>
        <w:rPr>
          <w:rFonts w:ascii="Arial" w:hAnsi="Arial" w:eastAsia="Arial" w:cs="Arial"/>
          <w:lang w:val="es-AR" w:eastAsia="es-AR" w:bidi="es-AR"/>
        </w:rPr>
        <w:t xml:space="preserve"> 	V.1.- Daño moral de Enzo Alvarez.	</w:t>
        <w:br w:type="textWrapping"/>
      </w:r>
      <w:r>
        <w:rPr>
          <w:rFonts w:ascii="Arial" w:hAnsi="Arial" w:eastAsia="Arial" w:cs="Arial"/>
          <w:lang w:val="es-AR" w:eastAsia="es-AR" w:bidi="es-AR"/>
        </w:rPr>
        <w:t xml:space="preserve">	Comparto en principio lo expuesto en la sentencia de grado. Vale decir que el sujeto en estado de coma, vegetativo o total o parcialmente asimilable a éste (como lo sería en la especie el cuadro de parálisis cerebral espástica padecida por la víctima) conserva su espíritu. Precisamente por eso, el perjuicio moral reviste tremenda importancia: la mutilación del propio yo, al que se ha despojado de todo contenido existencial, bueno o malo, y de cualquier opción para continuar o forjar un destino. 	</w:t>
        <w:br w:type="textWrapping"/>
      </w:r>
      <w:r>
        <w:rPr>
          <w:rFonts w:ascii="Arial" w:hAnsi="Arial" w:eastAsia="Arial" w:cs="Arial"/>
          <w:lang w:val="es-AR" w:eastAsia="es-AR" w:bidi="es-AR"/>
        </w:rPr>
        <w:t xml:space="preserve"> 	Cabe insistir en que la ineptitud para </w:t>
      </w:r>
      <w:r>
        <w:rPr>
          <w:rFonts w:ascii="Arial" w:hAnsi="Arial" w:eastAsia="Arial" w:cs="Arial"/>
          <w:i/>
          <w:lang w:val="es-AR" w:eastAsia="es-AR" w:bidi="es-AR"/>
        </w:rPr>
        <w:t xml:space="preserve">"padecer psíquicamente"</w:t>
      </w:r>
      <w:r>
        <w:rPr>
          <w:rFonts w:ascii="Arial" w:hAnsi="Arial" w:eastAsia="Arial" w:cs="Arial"/>
          <w:lang w:val="es-AR" w:eastAsia="es-AR" w:bidi="es-AR"/>
        </w:rPr>
        <w:t xml:space="preserve"> con motivo de un suceso, importa para el derecho un gravísimo mal espiritual. Quien niegue un daño moral en tales circunstancias incurrirá en la paradoja de admitirlo en donde sólo hay un </w:t>
      </w:r>
      <w:r>
        <w:rPr>
          <w:rFonts w:ascii="Arial" w:hAnsi="Arial" w:eastAsia="Arial" w:cs="Arial"/>
          <w:i/>
          <w:lang w:val="es-AR" w:eastAsia="es-AR" w:bidi="es-AR"/>
        </w:rPr>
        <w:t xml:space="preserve">"empeoramiento"</w:t>
      </w:r>
      <w:r>
        <w:rPr>
          <w:rFonts w:ascii="Arial" w:hAnsi="Arial" w:eastAsia="Arial" w:cs="Arial"/>
          <w:lang w:val="es-AR" w:eastAsia="es-AR" w:bidi="es-AR"/>
        </w:rPr>
        <w:t xml:space="preserve"> del sujeto y de descartarlo en aquellos otros en los que, más radicalmente, se produce la desaparición existencial de éste (Cf. ZAVALA DE GONZALEZ, Disminuciones psicofísicas, Tomo II, Buenos Aires, Astrea, 2009, pag. 413). </w:t>
        <w:br w:type="textWrapping"/>
      </w:r>
      <w:r>
        <w:rPr>
          <w:rFonts w:ascii="Arial" w:hAnsi="Arial" w:eastAsia="Arial" w:cs="Arial"/>
          <w:lang w:val="es-AR" w:eastAsia="es-AR" w:bidi="es-AR"/>
        </w:rPr>
        <w:t xml:space="preserve"> 	En esta línea, se ha dicho que </w:t>
      </w:r>
      <w:r>
        <w:rPr>
          <w:rFonts w:ascii="Arial" w:hAnsi="Arial" w:eastAsia="Arial" w:cs="Arial"/>
          <w:i/>
          <w:lang w:val="es-AR" w:eastAsia="es-AR" w:bidi="es-AR"/>
        </w:rPr>
        <w:t xml:space="preserve">"Es procedente la reparación del daño moral sufrido por la víctima como consecuencia del evento dañoso que le produjo daños irreversibles y lo mantuvo varios años en estado de vida vegetativa  hasta el momento del fallecimiento, no resarciéndose en el caso el dolor o sufrimiento, sino la pérdida de la aptitud para experimentarlo, circunstancia ésta que evidencia por sola la transgresión de un derecho inherente a la personalidad"</w:t>
      </w:r>
      <w:r>
        <w:rPr>
          <w:rFonts w:ascii="Arial" w:hAnsi="Arial" w:eastAsia="Arial" w:cs="Arial"/>
          <w:lang w:val="es-AR" w:eastAsia="es-AR" w:bidi="es-AR"/>
        </w:rPr>
        <w:t xml:space="preserve"> (CCivCom Rosario, 16/12/97, LL, 1998-F-852, 40.994-S).	</w:t>
        <w:br w:type="textWrapping"/>
      </w:r>
      <w:r>
        <w:rPr>
          <w:rFonts w:ascii="Arial" w:hAnsi="Arial" w:eastAsia="Arial" w:cs="Arial"/>
          <w:lang w:val="es-AR" w:eastAsia="es-AR" w:bidi="es-AR"/>
        </w:rPr>
        <w:t xml:space="preserve"> 	En cuanto a la extensión atribuida al rubro en análisis, participo de la idea de que la indemnización del daño moral cuando subsisten estados de anulación o reducción de conciencia no autoriza a limitar la indemnización a título de daño moral, la que debe mantenerse incólume, habida cuenta de que "</w:t>
      </w:r>
      <w:r>
        <w:rPr>
          <w:rFonts w:ascii="Arial" w:hAnsi="Arial" w:eastAsia="Arial" w:cs="Arial"/>
          <w:i/>
          <w:lang w:val="es-AR" w:eastAsia="es-AR" w:bidi="es-AR"/>
        </w:rPr>
        <w:t xml:space="preserve">la mera privación o supresión de facultades para experimentar sentimientos debe ser indemnizada por la disminución personal que denotan. El solo desvalor subjetivo producido, que se determina por comparación entre la situación que la víctima tenía antes y después del daño, alcanza para configurar daño moral, el cual es evidente, actual y sobre todo futuro"</w:t>
      </w:r>
      <w:r>
        <w:rPr>
          <w:rFonts w:ascii="Arial" w:hAnsi="Arial" w:eastAsia="Arial" w:cs="Arial"/>
          <w:lang w:val="es-AR" w:eastAsia="es-AR" w:bidi="es-AR"/>
        </w:rPr>
        <w:t xml:space="preserve"> (Cf. PIZARRO, Ramón D., Daño moral. Prevención. Reparación. Punición. El daño moral en las diversas ramas del derecho, Bs.As., Ed. Hammurabi, 2004, pag. 418). No hay aquí una intencionalidad punitiva hacia los sujetos sindicados como responsables del hecho dañoso -como deslizan las partes codemandadas en su expresión de agravios-, sino más bien aplicación directa del principio de reparación plena del daño moral en supuestos de gran incapacidad (art.1079 CC).	</w:t>
        <w:br w:type="textWrapping"/>
      </w:r>
      <w:r>
        <w:rPr>
          <w:rFonts w:ascii="Arial" w:hAnsi="Arial" w:eastAsia="Arial" w:cs="Arial"/>
          <w:lang w:val="es-AR" w:eastAsia="es-AR" w:bidi="es-AR"/>
        </w:rPr>
        <w:t xml:space="preserve"> 	Sobre esta tónica, se ha sostenido que: </w:t>
      </w:r>
      <w:r>
        <w:rPr>
          <w:rFonts w:ascii="Arial" w:hAnsi="Arial" w:eastAsia="Arial" w:cs="Arial"/>
          <w:i/>
          <w:lang w:val="es-AR" w:eastAsia="es-AR" w:bidi="es-AR"/>
        </w:rPr>
        <w:t xml:space="preserve">"El estado vegetativo padecido por la víctima (...) no permite reducir la indemnización del daño moral, pues la indemnización se concede por violación de los derechos de la personalidad"</w:t>
      </w:r>
      <w:r>
        <w:rPr>
          <w:rFonts w:ascii="Arial" w:hAnsi="Arial" w:eastAsia="Arial" w:cs="Arial"/>
          <w:lang w:val="es-AR" w:eastAsia="es-AR" w:bidi="es-AR"/>
        </w:rPr>
        <w:t xml:space="preserve"> (CNCiv., Sala G, 28/6/00, "Responsabilidad Civil y Seguros", 2001-696-.	</w:t>
        <w:br w:type="textWrapping"/>
      </w:r>
      <w:r>
        <w:rPr>
          <w:rFonts w:ascii="Arial" w:hAnsi="Arial" w:eastAsia="Arial" w:cs="Arial"/>
          <w:lang w:val="es-AR" w:eastAsia="es-AR" w:bidi="es-AR"/>
        </w:rPr>
        <w:t xml:space="preserve"> 	En función de todo lo expuesto, y teniendo en cuento el principio de integralidad resarcitoria del rubro en este peculiar supuesto lesivo, la posibilidad para establecerlo aquí a valores actuales dada la naturaleza de la partida indemnizatoria, la necesidad de computar las consecuencias no patrimoniales del perjuicio psíquico en esta parcela de la cuantificación del daño resarcible y el grado de restricción existencial padecido por la víctima, propongo elevar la indemnización a título de daño moral a la suma de </w:t>
      </w:r>
      <w:r>
        <w:rPr>
          <w:rFonts w:ascii="Arial" w:hAnsi="Arial" w:eastAsia="Arial" w:cs="Arial"/>
          <w:b/>
          <w:lang w:val="es-AR" w:eastAsia="es-AR" w:bidi="es-AR"/>
        </w:rPr>
        <w:t xml:space="preserve">$ 2.000.000.	</w:t>
      </w:r>
      <w:r>
        <w:rPr>
          <w:rFonts w:ascii="Arial" w:hAnsi="Arial" w:eastAsia="Arial" w:cs="Arial"/>
          <w:lang w:val="es-AR" w:eastAsia="es-AR" w:bidi="es-AR"/>
        </w:rPr>
        <w:br w:type="textWrapping"/>
      </w:r>
      <w:r>
        <w:rPr>
          <w:rFonts w:ascii="Arial" w:hAnsi="Arial" w:eastAsia="Arial" w:cs="Arial"/>
          <w:lang w:val="es-AR" w:eastAsia="es-AR" w:bidi="es-AR"/>
        </w:rPr>
        <w:t xml:space="preserve"> 	 V.2. Daño moral de Alberto Alvarez y Silvina Couto.	</w:t>
        <w:br w:type="textWrapping"/>
      </w:r>
      <w:r>
        <w:rPr>
          <w:rFonts w:ascii="Arial" w:hAnsi="Arial" w:eastAsia="Arial" w:cs="Arial"/>
          <w:lang w:val="es-AR" w:eastAsia="es-AR" w:bidi="es-AR"/>
        </w:rPr>
        <w:t xml:space="preserve"> 	Estimo que atento a la necesidad de establecer el perjuicio resarcible a valores actuales como de contemplar aquí las consecuencias no patrimoniales del perjuicio psíquico, y considerando la especial entidad del daño moral indirecto en supuestos de gran incapacidad (en la especie, el desmedro espiritual no sólo viene dado por el sufrimiento experimentado por los progenitores al tener que aceptar el cuadro invalidante total e irreversible en que ha quedado sumido su hijo, sino también en las limitaciones existenciales que dicha situación implicará para la propia vida de éstos toda vez que deberán asistir a su hijo por tiempo indeterminado y no podrán aspirar a recibir su asistencia personal en el futuro), corresponde elevar el importe dado por este rubro a la suma </w:t>
      </w:r>
      <w:r>
        <w:rPr>
          <w:rFonts w:ascii="Arial" w:hAnsi="Arial" w:eastAsia="Arial" w:cs="Arial"/>
          <w:b/>
          <w:lang w:val="es-AR" w:eastAsia="es-AR" w:bidi="es-AR"/>
        </w:rPr>
        <w:t xml:space="preserve">$ 1.200.000 </w:t>
      </w:r>
      <w:r>
        <w:rPr>
          <w:rFonts w:ascii="Arial" w:hAnsi="Arial" w:eastAsia="Arial" w:cs="Arial"/>
          <w:lang w:val="es-AR" w:eastAsia="es-AR" w:bidi="es-AR"/>
        </w:rPr>
        <w:t xml:space="preserve">para cada uno de ellos.	 	En sustento de ello, no es ocioso señalar que la situación de los padres frente a invalidaciones absolutas y permanentes de sus hijos entraña un doble sufrimiento moral: por lo arrebatado al hijo -su íntegro porvenir- y por lo que se despoja a los padres mismos. Cabe observar, en tal sentido, que el derecho resarcitorio de los daños morales no se apuntala únicamente en las arenas movedizas de las </w:t>
      </w:r>
      <w:r>
        <w:rPr>
          <w:rFonts w:ascii="Arial" w:hAnsi="Arial" w:eastAsia="Arial" w:cs="Arial"/>
          <w:i/>
          <w:lang w:val="es-AR" w:eastAsia="es-AR" w:bidi="es-AR"/>
        </w:rPr>
        <w:t xml:space="preserve">"lágrimas"</w:t>
      </w:r>
      <w:r>
        <w:rPr>
          <w:rFonts w:ascii="Arial" w:hAnsi="Arial" w:eastAsia="Arial" w:cs="Arial"/>
          <w:lang w:val="es-AR" w:eastAsia="es-AR" w:bidi="es-AR"/>
        </w:rPr>
        <w:t xml:space="preserve">, sino que constata alteraciones existenciales sobre la base de situaciones objetivas.	</w:t>
        <w:br w:type="textWrapping"/>
      </w:r>
      <w:r>
        <w:rPr>
          <w:rFonts w:ascii="Arial" w:hAnsi="Arial" w:eastAsia="Arial" w:cs="Arial"/>
          <w:lang w:val="es-AR" w:eastAsia="es-AR" w:bidi="es-AR"/>
        </w:rPr>
        <w:t xml:space="preserve"> 	Con especial agudeza, describe Vázquez Ferreyra que: </w:t>
      </w:r>
      <w:r>
        <w:rPr>
          <w:rFonts w:ascii="Arial" w:hAnsi="Arial" w:eastAsia="Arial" w:cs="Arial"/>
          <w:i/>
          <w:lang w:val="es-AR" w:eastAsia="es-AR" w:bidi="es-AR"/>
        </w:rPr>
        <w:t xml:space="preserve">"los familiares directos, además del dolor propio de ver postrado al ser querido, experimentan otros perjuicios de significativo valor que inciden en el desarrollo de su propia vida. Ello por cuanto el ambiente íntimo familiar debe acomodarse a la nueva y triste realidad combinando el despliegue de actividades con el cuidado al hermano, padre, madre, hijo, incapacitado"</w:t>
      </w:r>
      <w:r>
        <w:rPr>
          <w:rFonts w:ascii="Arial" w:hAnsi="Arial" w:eastAsia="Arial" w:cs="Arial"/>
          <w:lang w:val="es-AR" w:eastAsia="es-AR" w:bidi="es-AR"/>
        </w:rPr>
        <w:t xml:space="preserve">.</w:t>
        <w:br w:type="textWrapping"/>
      </w:r>
      <w:r>
        <w:rPr>
          <w:rFonts w:ascii="Arial" w:hAnsi="Arial" w:eastAsia="Arial" w:cs="Arial"/>
          <w:lang w:val="es-AR" w:eastAsia="es-AR" w:bidi="es-AR"/>
        </w:rPr>
        <w:t xml:space="preserve"> 	Y si bien una exégesis literal del art. 1078 nos llevaría a concluir que sólo la muerte del hijo es invocable como daño moral, no su mutilación, incapacidad, secuestro, tortura, vejámenes psíquicos, violaciones o abusos sexuales, considero que de todos modos se impone una respuesta indemnizatoria en casos tan drásticos como las secuelas nocivas absolutas e irreversibles de un hijo.	</w:t>
        <w:br w:type="textWrapping"/>
      </w:r>
      <w:r>
        <w:rPr>
          <w:rFonts w:ascii="Arial" w:hAnsi="Arial" w:eastAsia="Arial" w:cs="Arial"/>
          <w:lang w:val="es-AR" w:eastAsia="es-AR" w:bidi="es-AR"/>
        </w:rPr>
        <w:t xml:space="preserve"> 	En respaldo de esta hermenéutica extensiva del mentado artículo, la Corte Provincial ha dicho que: </w:t>
      </w:r>
      <w:r>
        <w:rPr>
          <w:rFonts w:ascii="Arial" w:hAnsi="Arial" w:eastAsia="Arial" w:cs="Arial"/>
          <w:i/>
          <w:lang w:val="es-AR" w:eastAsia="es-AR" w:bidi="es-AR"/>
        </w:rPr>
        <w:t xml:space="preserve">"Corresponde otorgar, con fundamento en el art. 1078 del Código Civil, una indemnización en concepto de daño moral a favor de los progenitores de un menor que quedó cuadripléjico por mala praxis médica -en el caso, por la inhalación excesiva de vapores de la anestesia, por falla del aparato que la suministraba, dado que aquella norma implica una disparidad de tratamiento que viola la igualdad de la ley, instituida en el art. 16 de la Const. nacional" </w:t>
      </w:r>
      <w:r>
        <w:rPr>
          <w:rFonts w:ascii="Arial" w:hAnsi="Arial" w:eastAsia="Arial" w:cs="Arial"/>
          <w:lang w:val="es-AR" w:eastAsia="es-AR" w:bidi="es-AR"/>
        </w:rPr>
        <w:t xml:space="preserve">(SCBA, 16/5/2007, "Responsabilidad civil y seguros", 2007-854 y LLBA, 2007-505, voto del Dr. De Lázzari).	</w:t>
        <w:br w:type="textWrapping"/>
      </w:r>
      <w:r>
        <w:rPr>
          <w:rFonts w:ascii="Arial" w:hAnsi="Arial" w:eastAsia="Arial" w:cs="Arial"/>
          <w:lang w:val="es-AR" w:eastAsia="es-AR" w:bidi="es-AR"/>
        </w:rPr>
        <w:t xml:space="preserve"> 	En la especie, todo ello es conteste con </w:t>
      </w:r>
      <w:r>
        <w:rPr>
          <w:rFonts w:ascii="Arial" w:hAnsi="Arial" w:eastAsia="Arial" w:cs="Arial"/>
          <w:color w:val="000000"/>
          <w:lang w:val="es-AR" w:eastAsia="es-AR" w:bidi="es-AR"/>
        </w:rPr>
        <w:t xml:space="preserve">lo dictaminado por la perito psicóloga de esta Asesoría Pericial Departamental cuando a fs. 461 / 464. sostuvo en relación a la progenitora: </w:t>
      </w:r>
      <w:r>
        <w:rPr>
          <w:rFonts w:ascii="Arial" w:hAnsi="Arial" w:eastAsia="Arial" w:cs="Arial"/>
          <w:i/>
          <w:color w:val="000000"/>
          <w:lang w:val="es-AR" w:eastAsia="es-AR" w:bidi="es-AR"/>
        </w:rPr>
        <w:t xml:space="preserve">"... del material gráfico y de la entrevista diagnóstica surgen indicadores de inestabilidad emocional, falta de sostén y seguridad personal, pauperización del esquema corporal y debilitamiento yoico, en cuanto a las relaciones interpersonales si bien cuenta con el apoyo y contención familiar y social, los gráficos develan el deterioro significativo en lo social, laboral y en especial el lazo amoroso que se ve seriamente dañado derivando en sentimientos de angustia, desamparo y marcado malestar psíquico devenido a consecuencia del motivo de autos.- La peritada necesita iniciar un tratamiento psicológico.- ...".</w:t>
      </w:r>
      <w:r>
        <w:rPr>
          <w:rFonts w:ascii="Arial" w:hAnsi="Arial" w:eastAsia="Arial" w:cs="Arial"/>
          <w:color w:val="000000"/>
          <w:lang w:val="es-AR" w:eastAsia="es-AR" w:bidi="es-AR"/>
        </w:rPr>
        <w:t xml:space="preserve">- En punto al peritado Alvarez </w:t>
      </w:r>
      <w:r>
        <w:rPr>
          <w:rFonts w:ascii="Arial" w:hAnsi="Arial" w:eastAsia="Arial" w:cs="Arial"/>
          <w:i/>
          <w:color w:val="000000"/>
          <w:lang w:val="es-AR" w:eastAsia="es-AR" w:bidi="es-AR"/>
        </w:rPr>
        <w:t xml:space="preserve">"... se advierten indicadores de una marcada inestabilidad emocional, el psiquismo se mantiene integrado, quiere decir que no se ha producido  un derrumbe total de la estructura, pero muestra índices de transitar un cuadro depresivo, con pobreza ideativa estancamiento y falta de energía ... "</w:t>
      </w:r>
      <w:r>
        <w:rPr>
          <w:rFonts w:ascii="Arial" w:hAnsi="Arial" w:eastAsia="Arial" w:cs="Arial"/>
          <w:color w:val="000000"/>
          <w:lang w:val="es-AR" w:eastAsia="es-AR" w:bidi="es-AR"/>
        </w:rPr>
        <w:t xml:space="preserve">. Por lo demás, las conclusiones son contundentes </w:t>
      </w:r>
      <w:r>
        <w:rPr>
          <w:rFonts w:ascii="Arial" w:hAnsi="Arial" w:eastAsia="Arial" w:cs="Arial"/>
          <w:i/>
          <w:color w:val="000000"/>
          <w:lang w:val="es-AR" w:eastAsia="es-AR" w:bidi="es-AR"/>
        </w:rPr>
        <w:t xml:space="preserve">"... SILVINA LORENA COUTO y ADRIAN A. ALVAREZ presentan un trastorno adaptativo  crónico con estado de ánimo depresivo ( D.S.M. IV ), haciéndose necesario tratamiento psicológico el que deberá transcurrir a lo largo de 10 meses a un ritmo de una sesión semanal ... "</w:t>
      </w:r>
      <w:r>
        <w:rPr>
          <w:rFonts w:ascii="Arial" w:hAnsi="Arial" w:eastAsia="Arial" w:cs="Arial"/>
          <w:color w:val="000000"/>
          <w:lang w:val="es-AR" w:eastAsia="es-AR" w:bidi="es-AR"/>
        </w:rPr>
        <w:t xml:space="preserve">, dictamen pericial del que no encuentro motivos para apartarme  ( arts. 384 y 474 C.P.C.). </w:t>
        <w:br w:type="textWrapping"/>
      </w:r>
      <w:r>
        <w:rPr>
          <w:rFonts w:ascii="Arial" w:hAnsi="Arial" w:eastAsia="Arial" w:cs="Arial"/>
          <w:color w:val="000000"/>
          <w:lang w:val="es-AR" w:eastAsia="es-AR" w:bidi="es-AR"/>
        </w:rPr>
        <w:t xml:space="preserve">De manera concurrente, resulta de particular pertinencia probatoria lo atestiguado por la deponente </w:t>
      </w:r>
      <w:r>
        <w:rPr>
          <w:rFonts w:ascii="Arial" w:hAnsi="Arial" w:eastAsia="Arial" w:cs="Arial"/>
          <w:lang w:val="es-AR" w:eastAsia="es-AR" w:bidi="es-AR"/>
        </w:rPr>
        <w:t xml:space="preserve">Cecilia Beatriz Di Costa en la audiencia de fecha 16 de Febrero de 2016: </w:t>
      </w:r>
      <w:r>
        <w:rPr>
          <w:rFonts w:ascii="Arial" w:hAnsi="Arial" w:eastAsia="Arial" w:cs="Arial"/>
          <w:i/>
          <w:lang w:val="es-AR" w:eastAsia="es-AR" w:bidi="es-AR"/>
        </w:rPr>
        <w:t xml:space="preserve">"...dicho incidente afecto mucho en la flia, ya que los padres tienen que cuidarlo permanentemente, que esto tambien acacrreo muchos problemas economicos en el grupo fliar ya que no pueden trabajar como lo hacian habitualmente porque tienen que cuidarlo y anicamente tambien influyo ya  que estan muy tristes todos desde que ocurrio el hecho"</w:t>
      </w:r>
      <w:r>
        <w:rPr>
          <w:rFonts w:ascii="Arial" w:hAnsi="Arial" w:eastAsia="Arial" w:cs="Arial"/>
          <w:lang w:val="es-AR" w:eastAsia="es-AR" w:bidi="es-AR"/>
        </w:rPr>
        <w:t xml:space="preserve">. En similar sentido, se explayó la testigo Patricia Veronica Bontempo al referir que: </w:t>
      </w:r>
      <w:r>
        <w:rPr>
          <w:rFonts w:ascii="Arial" w:hAnsi="Arial" w:eastAsia="Arial" w:cs="Arial"/>
          <w:i/>
          <w:lang w:val="es-AR" w:eastAsia="es-AR" w:bidi="es-AR"/>
        </w:rPr>
        <w:t xml:space="preserve">"Enzo requiere de cuidados intensos, que  lo asisiten pediatras, enfermera, kinesiologos etc, a parte de sus padres. Que la vida de la flia se modifico totalmente ya que Lorena tiene que trabajar en su casa y tambien Adrian ya que no hay empleo que avale sus inasistencias debido a las constantes internaciones de Enzo, agrega que antes ellos concurrian asiduamente a visitarlo pero que debido a los cuidado que el requiere y para no contanminar de bacterias que puedan agravar el caso ya no lo hacen".</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160" w:line="360" w:lineRule="auto"/>
        <w:jc w:val="both"/>
        <w:rPr>
          <w:rFonts w:ascii="Arial" w:hAnsi="Arial" w:eastAsia="Arial" w:cs="Arial"/>
          <w:color w:val="000000"/>
          <w:lang w:val="es-AR" w:eastAsia="es-AR" w:bidi="es-AR"/>
        </w:rPr>
      </w:pPr>
      <w:r>
        <w:rPr>
          <w:rFonts w:ascii="Arial" w:hAnsi="Arial" w:eastAsia="Arial" w:cs="Arial"/>
          <w:i/>
          <w:lang w:val="es-AR" w:eastAsia="es-AR" w:bidi="es-AR"/>
        </w:rPr>
        <w:t xml:space="preserve"> 	</w:t>
      </w:r>
      <w:r>
        <w:rPr>
          <w:rFonts w:ascii="Arial" w:hAnsi="Arial" w:eastAsia="Arial" w:cs="Arial"/>
          <w:lang w:val="es-AR" w:eastAsia="es-AR" w:bidi="es-AR"/>
        </w:rPr>
        <w:t xml:space="preserve">VI.</w:t>
      </w:r>
      <w:r>
        <w:rPr>
          <w:rFonts w:ascii="Arial" w:hAnsi="Arial" w:eastAsia="Arial" w:cs="Arial"/>
          <w:i/>
          <w:lang w:val="es-AR" w:eastAsia="es-AR" w:bidi="es-AR"/>
        </w:rPr>
        <w:t xml:space="preserve"> </w:t>
      </w:r>
      <w:r>
        <w:rPr>
          <w:rFonts w:ascii="Arial" w:hAnsi="Arial" w:eastAsia="Arial" w:cs="Arial"/>
          <w:lang w:val="es-AR" w:eastAsia="es-AR" w:bidi="es-AR"/>
        </w:rPr>
        <w:t xml:space="preserve">Gastos médicos: 	</w:t>
        <w:br w:type="textWrapping"/>
      </w:r>
      <w:r>
        <w:rPr>
          <w:rFonts w:ascii="Arial" w:hAnsi="Arial" w:eastAsia="Arial" w:cs="Arial"/>
          <w:lang w:val="es-AR" w:eastAsia="es-AR" w:bidi="es-AR"/>
        </w:rPr>
        <w:t xml:space="preserve">	Respecto a este rubro, considero que corresponde confirmar lo dado en la instancia de grado. En tal sentido, advierto que la cifra otorgada ($ 50.000) no resulta desproporcionada atento a la magnitud de las lesiones sufridas ni deviene insuficiente en el marco presuncional en que ha sido dictada y en ausencia de constancias de gastos efectivamente realizados.		Al respecto, este Tribunal ha dicho que: </w:t>
      </w:r>
      <w:r>
        <w:rPr>
          <w:rFonts w:ascii="Arial" w:hAnsi="Arial" w:eastAsia="Arial" w:cs="Arial"/>
          <w:i/>
          <w:lang w:val="es-AR" w:eastAsia="es-AR" w:bidi="es-AR"/>
        </w:rPr>
        <w:t xml:space="preserve">"... </w:t>
      </w:r>
      <w:r>
        <w:rPr>
          <w:rFonts w:ascii="Arial" w:hAnsi="Arial" w:eastAsia="Arial" w:cs="Arial"/>
          <w:i/>
          <w:color w:val="000000"/>
          <w:lang w:val="es-AR" w:eastAsia="es-AR" w:bidi="es-AR"/>
        </w:rPr>
        <w:t xml:space="preserve">los gastos de curación son indemnizables aún en defecto de prueba directa del desembolso, pues su necesidad es un hecho público y notorio que no se puede soslayar, pudiendo el operador, tal como lo hizo fijar un importe teniendo en cuenta la entidad y naturaleza de las lesiones cuando su resarcimiento se encuadre dentro de lo prudente, cuando ello exceda el concepto debería allí aportarse toda la prueba necesaria que justifique mayores erogaciones"</w:t>
      </w:r>
      <w:r>
        <w:rPr>
          <w:rFonts w:ascii="Arial" w:hAnsi="Arial" w:eastAsia="Arial" w:cs="Arial"/>
          <w:color w:val="000000"/>
          <w:lang w:val="es-AR" w:eastAsia="es-AR" w:bidi="es-AR"/>
        </w:rPr>
        <w:t xml:space="preserve"> (causa 2114, sentencia del 21 de Abril de 2015).	</w:t>
        <w:br w:type="textWrapping"/>
      </w:r>
      <w:r>
        <w:rPr>
          <w:rFonts w:ascii="Arial" w:hAnsi="Arial" w:eastAsia="Arial" w:cs="Arial"/>
          <w:color w:val="000000"/>
          <w:lang w:val="es-AR" w:eastAsia="es-AR" w:bidi="es-AR"/>
        </w:rPr>
        <w:t xml:space="preserve"> 	Finalmente, no empece a lo expuesto que existan erogaciones médicas y farmacéuticas que hayan sido afrontadas por la obra social de la víctima menor -como indican las codemandadas en su expresión de agravios-, por cuanto resulta habitual o compatible con el curso normal de los hechos que haya erogaciones que no sean íntegramente asumidas por ésta. En tal sentido, se ha dicho que: </w:t>
      </w:r>
      <w:r>
        <w:rPr>
          <w:rFonts w:ascii="Arial" w:hAnsi="Arial" w:eastAsia="Arial" w:cs="Arial"/>
          <w:i/>
          <w:color w:val="000000"/>
          <w:lang w:val="es-AR" w:eastAsia="es-AR" w:bidi="es-AR"/>
        </w:rPr>
        <w:t xml:space="preserve">"Es procedente el reclamo de gastos de curación aun en el supuesto de que la víctima tuviera cobertura social, ya que es de experiencia común que parte de los medicamentos y elementos de curaciónson soportados por el paciente sin el reconocimiento de las obras sociales"</w:t>
      </w:r>
      <w:r>
        <w:rPr>
          <w:rFonts w:ascii="Arial" w:hAnsi="Arial" w:eastAsia="Arial" w:cs="Arial"/>
          <w:color w:val="000000"/>
          <w:lang w:val="es-AR" w:eastAsia="es-AR" w:bidi="es-AR"/>
        </w:rPr>
        <w:t xml:space="preserve"> (CCiv Com Tucumán, Sala II, 11/10/1, LLNOA 2002-1040).</w:t>
        <w:br w:type="textWrapping"/>
      </w:r>
      <w:r>
        <w:rPr>
          <w:rFonts w:ascii="Arial" w:hAnsi="Arial" w:eastAsia="Arial" w:cs="Arial"/>
          <w:color w:val="000000"/>
          <w:lang w:val="es-AR" w:eastAsia="es-AR" w:bidi="es-AR"/>
        </w:rPr>
        <w:t xml:space="preserve">	VII. En cuanto a los gastos médicos futuros, advierto que no es atendible el agravio expresado por las codemandadas a tenor del cual la imposición de la condena mediante el pago de un salario mínimo, vital y móvil transgrediría el principio de congruencia. Fundo mi posición en la circunstancia de que la reparación del rubro ha sido expresamente solicitada por el accionante por lo que su concesión no importa innovación en la sentencia de grado (ver fs. 140/141).	</w:t>
        <w:br w:type="textWrapping"/>
      </w:r>
      <w:r>
        <w:rPr>
          <w:rFonts w:ascii="Arial" w:hAnsi="Arial" w:eastAsia="Arial" w:cs="Arial"/>
          <w:color w:val="000000"/>
          <w:lang w:val="es-AR" w:eastAsia="es-AR" w:bidi="es-AR"/>
        </w:rPr>
        <w:t xml:space="preserve"> 	El hecho de que dicha condena dictada a razón del pedimento actoral se haya dispuesto como obligación periódica de pagar una renta regular ajustada al valor del SMVM resulta insuficiente para la configuración del vicio de incongruencia, por cuanto el juzgador no estaría incorporando de oficio una pretensión jurídica sustancial nueva o diferente a la reclamada en demanda, sino estableciendo meramente una modalidad técnica de cumplimiento de aquélla, lo que se halla dentro de las atribuciones judiciales implícitas de la judicatura (art. 34 del CPCCBA).	</w:t>
        <w:br w:type="textWrapping"/>
      </w:r>
      <w:r>
        <w:rPr>
          <w:rFonts w:ascii="Arial" w:hAnsi="Arial" w:eastAsia="Arial" w:cs="Arial"/>
          <w:color w:val="000000"/>
          <w:lang w:val="es-AR" w:eastAsia="es-AR" w:bidi="es-AR"/>
        </w:rPr>
        <w:t xml:space="preserve"> 	Incluso la modalidad dispuesta evita que la entrega del monto indemnizatorio de una sola vez y por adelantado genere un injustificado enriquecimiento del accionante, por lo que no habría motivo real de agravio para las partes apelantes.	</w:t>
        <w:br w:type="textWrapping"/>
      </w:r>
      <w:r>
        <w:rPr>
          <w:rFonts w:ascii="Arial" w:hAnsi="Arial" w:eastAsia="Arial" w:cs="Arial"/>
          <w:color w:val="000000"/>
          <w:lang w:val="es-AR" w:eastAsia="es-AR" w:bidi="es-AR"/>
        </w:rPr>
        <w:t xml:space="preserve"> 	Por último, resulta oportuno recordar aquí que los gastos terapéuticos futuros son resarcibles toda vez que, acorde a la índole de la lesión, resulta previsible la necesidad o fundada conveniencia de realizar o proseguir algún tratamiento para subsanar o aliviar aminoraciones o debilidades psicofísicas derivadas del suceso. Por consiguiente, debe bastar que la asistencia o intervención terapéuticas aconsejadas, aunque no indispensables, resulten razonablemente idóneas para revertir, reducir o aliviar las secuelas desfavorables del hecho. Me remito nuevamente aquí a los dictámenes médicos reseñados en el punto V.	</w:t>
        <w:br w:type="textWrapping"/>
      </w:r>
      <w:r>
        <w:rPr>
          <w:rFonts w:ascii="Arial" w:hAnsi="Arial" w:eastAsia="Arial" w:cs="Arial"/>
          <w:color w:val="000000"/>
          <w:lang w:val="es-AR" w:eastAsia="es-AR" w:bidi="es-AR"/>
        </w:rPr>
        <w:t xml:space="preserve"> 	En virtud de ello, corresponde confirmar lo dispuesto en relación a este concepto en tanto integrativo del daño patrimonial, aclarando que la obligación de pagar este concepto se hará extensiva hasta el fallecimiento de Enzo Alvarez y que, por tratarse de una obligación de valor periódica, deberá liquidarse de acuerdo al valor vigente del salario mínimo, vital y móvil durante el mes en que deba realizarse dicho pago.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160" w:line="360" w:lineRule="auto"/>
        <w:jc w:val="both"/>
        <w:rPr>
          <w:rFonts w:ascii="Arial" w:hAnsi="Arial" w:eastAsia="Arial" w:cs="Arial"/>
          <w:color w:val="000000"/>
          <w:lang w:val="es-AR" w:eastAsia="es-AR" w:bidi="es-AR"/>
        </w:rPr>
      </w:pPr>
      <w:r>
        <w:rPr>
          <w:rFonts w:ascii="Arial" w:hAnsi="Arial" w:eastAsia="Arial" w:cs="Arial"/>
          <w:color w:val="000000"/>
          <w:lang w:val="es-AR" w:eastAsia="es-AR" w:bidi="es-AR"/>
        </w:rPr>
        <w:t xml:space="preserve"> 	VIII.- Gastos futuros: adquisición de vivienda.	</w:t>
        <w:br w:type="textWrapping"/>
      </w:r>
      <w:r>
        <w:rPr>
          <w:rFonts w:ascii="Arial" w:hAnsi="Arial" w:eastAsia="Arial" w:cs="Arial"/>
          <w:color w:val="000000"/>
          <w:lang w:val="es-AR" w:eastAsia="es-AR" w:bidi="es-AR"/>
        </w:rPr>
        <w:t xml:space="preserve"> 	En cuanto a la procedencia de este rubro, cabe apuntar que quien sufre una incapacidad tiene derecho a todos los resortes que le permitan su readaptación y desenvolver una vida lo más normal posible.	</w:t>
        <w:br w:type="textWrapping"/>
      </w:r>
      <w:r>
        <w:rPr>
          <w:rFonts w:ascii="Arial" w:hAnsi="Arial" w:eastAsia="Arial" w:cs="Arial"/>
          <w:color w:val="000000"/>
          <w:lang w:val="es-AR" w:eastAsia="es-AR" w:bidi="es-AR"/>
        </w:rPr>
        <w:t xml:space="preserve"> 	Al respecto, la jurisprudencia ha sostenido que: </w:t>
      </w:r>
      <w:r>
        <w:rPr>
          <w:rFonts w:ascii="Arial" w:hAnsi="Arial" w:eastAsia="Arial" w:cs="Arial"/>
          <w:i/>
          <w:color w:val="000000"/>
          <w:lang w:val="es-AR" w:eastAsia="es-AR" w:bidi="es-AR"/>
        </w:rPr>
        <w:t xml:space="preserve">"Es procedente el resarcimiento de los gastos que demanda el incremento de las necesidades habitacionales de la vivienda de la víctima, si como consecuencia del evento dañoso aquélla padece una incapacidad total y permanente que requiere de una vivienda de mayor superficie que la que hubiera necesitado de no acaecer el ilícito. Si debido al accidente la actora presenta severas dificultades para desplazarse -en el caso, mediante bastones canadienses y silla de ruedas- debe otorgársele una suma de dinero a fin de permitirle acceder a las diversas habitaciones, pues la reparación del daño debe ser integral"</w:t>
      </w:r>
      <w:r>
        <w:rPr>
          <w:rFonts w:ascii="Arial" w:hAnsi="Arial" w:eastAsia="Arial" w:cs="Arial"/>
          <w:color w:val="000000"/>
          <w:lang w:val="es-AR" w:eastAsia="es-AR" w:bidi="es-AR"/>
        </w:rPr>
        <w:t xml:space="preserve"> (CNCiv, Sala G, 19/11/99, "Responsabilidad Civil y Seguros", 2000-680, del fallo de primera instancia que la Cámara confirma).	</w:t>
        <w:br w:type="textWrapping"/>
      </w:r>
      <w:r>
        <w:rPr>
          <w:rFonts w:ascii="Arial" w:hAnsi="Arial" w:eastAsia="Arial" w:cs="Arial"/>
          <w:color w:val="000000"/>
          <w:lang w:val="es-AR" w:eastAsia="es-AR" w:bidi="es-AR"/>
        </w:rPr>
        <w:t xml:space="preserve"> 	En la especie, la existencia de este requerimiento básico insatisfecho se sustenta en la prueba pericial arquitectónica de fs. 559 / 562, asistente social de fs. 456 / 458 y demás testimonios producidos (ver fs. 639/643 de la causa n° 2220).	</w:t>
        <w:br w:type="textWrapping"/>
      </w:r>
      <w:r>
        <w:rPr>
          <w:rFonts w:ascii="Arial" w:hAnsi="Arial" w:eastAsia="Arial" w:cs="Arial"/>
          <w:color w:val="000000"/>
          <w:lang w:val="es-AR" w:eastAsia="es-AR" w:bidi="es-AR"/>
        </w:rPr>
        <w:t xml:space="preserve"> 	En cuanto a la extensión del rubro en análisis, entiendo que cabe hacer lugar al agravio expresado por las partes codemandadas en el sentido de que el Juez de grado se habría apartado injustificadamente de la suma estimada en la pericia arquitéctónica ($ 150.000). Y si bien es fácilmente presumible la variación de los valores de la construcción, no constan en el expediente concretos elementos de juicio que permitan proyectar una actualización precisa de dichos importes. En defecto de ello, y dada la naturaleza específica del rubro, cabe estar a la compensación impropia de la depreciación económica de los valores en juegos a través de la modulación de las tasas de interés aplicables.	</w:t>
        <w:br w:type="textWrapping"/>
      </w:r>
      <w:r>
        <w:rPr>
          <w:rFonts w:ascii="Arial" w:hAnsi="Arial" w:eastAsia="Arial" w:cs="Arial"/>
          <w:color w:val="000000"/>
          <w:lang w:val="es-AR" w:eastAsia="es-AR" w:bidi="es-AR"/>
        </w:rPr>
        <w:t xml:space="preserve"> 	En cuanto a la denunciada exigüidad del monto asignado a las reparaciones en sustento del agravio actoral, debo señalar de conformidad con lo anterior que el argumento resulta insuficiente para modificar la suma concedida atento a la falta de valores de referencia más actualizados o próximos a la presente sentencia.</w:t>
      </w:r>
    </w:p>
    <w:p>
      <w:pPr>
        <w:pStyle w:val="[Normal]"/>
        <w:spacing w:line="360" w:lineRule="auto"/>
        <w:ind w:firstLine="1134"/>
        <w:jc w:val="both"/>
        <w:rPr>
          <w:lang w:val="es-AR" w:eastAsia="es-AR" w:bidi="es-AR"/>
        </w:rPr>
      </w:pPr>
      <w:r>
        <w:rPr>
          <w:color w:val="000000"/>
          <w:lang w:val="es-AR" w:eastAsia="es-AR" w:bidi="es-AR"/>
        </w:rPr>
        <w:t xml:space="preserve"> IX.- Intereses aplicables. 	</w:t>
        <w:br w:type="textWrapping"/>
      </w:r>
      <w:r>
        <w:rPr>
          <w:color w:val="000000"/>
          <w:lang w:val="es-AR" w:eastAsia="es-AR" w:bidi="es-AR"/>
        </w:rPr>
        <w:t xml:space="preserve"> 	</w:t>
      </w:r>
      <w:r>
        <w:rPr>
          <w:lang w:val="es-AR" w:eastAsia="es-AR" w:bidi="es-AR"/>
        </w:rPr>
        <w:t xml:space="preserve">En relación a los intereses he de propiciar su modificación en consonancia con lo resuelto por esta Cámara de Apelaciones en precedentes anteriores (ver causa N° </w:t>
      </w:r>
      <w:r>
        <w:rPr>
          <w:color w:val="000000"/>
          <w:lang w:val="es-AR" w:eastAsia="es-AR" w:bidi="es-AR"/>
        </w:rPr>
        <w:t xml:space="preserve">3755-19</w:t>
      </w:r>
      <w:r>
        <w:rPr>
          <w:lang w:val="es-AR" w:eastAsia="es-AR" w:bidi="es-AR"/>
        </w:rPr>
        <w:t xml:space="preserve">, caratulada "</w:t>
      </w:r>
      <w:r>
        <w:rPr>
          <w:color w:val="000000"/>
          <w:lang w:val="es-AR" w:eastAsia="es-AR" w:bidi="es-AR"/>
        </w:rPr>
        <w:t xml:space="preserve">GLAVE NICOLAS EMANUEL Y OTRO/A C/ FALCINELLI FRANCO ANTONIO Y OTROS  S/ DAÑOS Y PERJ.AUTOM. C/LES. O MUERTE (EXC.ESTADO)</w:t>
      </w:r>
      <w:r>
        <w:rPr>
          <w:lang w:val="es-AR" w:eastAsia="es-AR" w:bidi="es-AR"/>
        </w:rPr>
        <w:t xml:space="preserve">".	 	Entiendo que la competencia revisora de este Tribunal para modificar el punto de referencia ha quedado habilitada al expresarse los agravios relativos a los rubros indemnizatorios reclamados los que llevan virtualmente implícito el de los intereses aplicables a tales conceptos, dada la </w:t>
      </w:r>
      <w:r>
        <w:rPr>
          <w:color w:val="000000"/>
          <w:lang w:val="es-AR" w:eastAsia="es-AR" w:bidi="es-AR"/>
        </w:rPr>
        <w:t xml:space="preserve">inevitable conexión entre el momento de cuantificación del daño y la tasa de interés aplicable, como así también la relación de accesoriedad de ésta última respecto a la condena de daños y perjuicios. Así, en la causa </w:t>
      </w:r>
      <w:r>
        <w:rPr>
          <w:i/>
          <w:color w:val="000000"/>
          <w:lang w:val="es-AR" w:eastAsia="es-AR" w:bidi="es-AR"/>
        </w:rPr>
        <w:t xml:space="preserve">“Vera” </w:t>
      </w:r>
      <w:r>
        <w:rPr>
          <w:lang w:val="es-AR" w:eastAsia="es-AR" w:bidi="es-AR"/>
        </w:rPr>
        <w:t xml:space="preserve">(C. 120.536, sentencia del 18 de abril de 2018)</w:t>
      </w:r>
      <w:r>
        <w:rPr>
          <w:color w:val="000000"/>
          <w:lang w:val="es-AR" w:eastAsia="es-AR" w:bidi="es-AR"/>
        </w:rPr>
        <w:t xml:space="preserve">, el Máximo Tribunal bonaerense planteó la necesidad de vincular la determinación de la indemnización a valores actuales con la aplicación de una tasa de interés puro: </w:t>
      </w:r>
      <w:r>
        <w:rPr>
          <w:i/>
          <w:color w:val="000000"/>
          <w:lang w:val="es-AR" w:eastAsia="es-AR" w:bidi="es-AR"/>
        </w:rPr>
        <w:t xml:space="preserve">“</w:t>
      </w:r>
      <w:r>
        <w:rPr>
          <w:i/>
          <w:color w:val="000000"/>
          <w:shd w:val="clear" w:color="auto" w:fill="FFFFFF"/>
          <w:lang w:val="es-AR" w:eastAsia="es-AR" w:bidi="es-AR"/>
        </w:rPr>
        <w:t xml:space="preserve">Como la indemnización se ha estimado a valores posteriores a la fecha de exigibilidad del crédito, era congruente con esa realidad económica liquidar los intereses devengados hasta ese momento aplicando, como tradicionalmente se establecía en relación con todas las modalidades de actualización, una </w:t>
      </w:r>
      <w:r>
        <w:rPr>
          <w:rStyle w:val="Emphasis"/>
          <w:rFonts w:ascii="Arial" w:hAnsi="Arial" w:eastAsia="Arial" w:cs="Arial"/>
          <w:color w:val="000000"/>
          <w:shd w:val="clear" w:color="auto" w:fill="FFFFFF"/>
          <w:lang w:val="es-AR" w:eastAsia="es-AR" w:bidi="es-AR"/>
        </w:rPr>
        <w:t xml:space="preserve">tasa de interés puro;</w:t>
      </w:r>
      <w:r>
        <w:rPr>
          <w:i/>
          <w:color w:val="000000"/>
          <w:shd w:val="clear" w:color="auto" w:fill="FFFFFF"/>
          <w:lang w:val="es-AR" w:eastAsia="es-AR" w:bidi="es-AR"/>
        </w:rPr>
        <w:t xml:space="preserve"> es decir, el accesorio destinado a la retribución de la privación del capital, despojado de otros </w:t>
      </w:r>
      <w:r>
        <w:rPr>
          <w:color w:val="000000"/>
          <w:shd w:val="clear" w:color="auto" w:fill="FFFFFF"/>
          <w:lang w:val="es-AR" w:eastAsia="es-AR" w:bidi="es-AR"/>
        </w:rPr>
        <w:t xml:space="preserve">componentes (entre otros, la pérdida del valor adquisitivo de la moneda, producto del fenómeno inflacionario; conf. Molinario, Alberto D., "Del interés lucrativo contractual y cuestiones conexas, RdN, 725, 1573)</w:t>
      </w:r>
      <w:r>
        <w:rPr>
          <w:i/>
          <w:color w:val="000000"/>
          <w:shd w:val="clear" w:color="auto" w:fill="FFFFFF"/>
          <w:lang w:val="es-AR" w:eastAsia="es-AR" w:bidi="es-AR"/>
        </w:rPr>
        <w:t xml:space="preserve">”</w:t>
      </w:r>
      <w:r>
        <w:rPr>
          <w:color w:val="000000"/>
          <w:shd w:val="clear" w:color="auto" w:fill="FFFFFF"/>
          <w:lang w:val="es-AR" w:eastAsia="es-AR" w:bidi="es-AR"/>
        </w:rPr>
        <w:t xml:space="preserve">.	</w:t>
      </w:r>
      <w:r>
        <w:rPr>
          <w:lang w:val="es-AR" w:eastAsia="es-AR" w:bidi="es-AR"/>
        </w:rPr>
        <w:br w:type="textWrapping"/>
      </w:r>
      <w:r>
        <w:rPr>
          <w:lang w:val="es-AR" w:eastAsia="es-AR" w:bidi="es-AR"/>
        </w:rPr>
        <w:t xml:space="preserve"> 	Esclarecido este punto, cabe señalar que conforme a la doctrina legal precitada que también fuera ratificada en la "Nidera S.A." (C. 121.134, sentencia del 03 de mayo de 2018) se afirmó que "la aplicación de una tasa pasiva bancaria al capital de condena determinado en el caso a valores actuales conduce a un resultado desproporcionado que sobrestima la incidencia de ciertos componentes sin causa justificada y arroja un resultado que excede de la expectativa razonable de conservación patrimonial" (fallo cit., considerando II.3.e.iii). El criterio, tal lo dicho en párrafos precedentes, es enteramente compartible. Si se utilizan tasas bancarias [pasivas o activas] que han sido determinadas en función del fenómeno inflacionario y se las aplica en forma retroactiva sobre un capital que ya fue cuantificado teniendo en cuenta el envilecimiento del signo monetario (sea por vía de indexación, o representación actual de un cierto valor), se produce una previsible distorsión que altera el significado económico de la condena y que encierra -en este punto- un enriquecimiento del acreedor que carece de causa. (Cámara de Apelaciones en lo Civil y Comercial Mar del Plata, Sala Segunda, "AGÜERO, MARTA BEATRIZ Y OT. C/ TRANSPORTES 25 DE MAYO S.R.L. Y OT. S/ DAÑOS Y PERJUICIOS", del 4/09/2018, Reg. Sent. 199-S Fo. 762/9).- 	</w:t>
        <w:br w:type="textWrapping"/>
      </w:r>
      <w:r>
        <w:rPr>
          <w:lang w:val="es-AR" w:eastAsia="es-AR" w:bidi="es-AR"/>
        </w:rPr>
        <w:t xml:space="preserve"> 	</w:t>
      </w:r>
      <w:r>
        <w:rPr>
          <w:color w:val="000000"/>
          <w:shd w:val="clear" w:color="auto" w:fill="FFFFFF"/>
          <w:lang w:val="es-AR" w:eastAsia="es-AR" w:bidi="es-AR"/>
        </w:rPr>
        <w:t xml:space="preserve">Vemos nuevamente que lo que justifica la aplicación de una tasa de interés puro y, por ende, de una alícuota menor a la tasa pasiva, es la actualización de los valores que integran el monto de la condena.	 </w:t>
        <w:br w:type="textWrapping"/>
      </w:r>
      <w:r>
        <w:rPr>
          <w:color w:val="000000"/>
          <w:shd w:val="clear" w:color="auto" w:fill="FFFFFF"/>
          <w:lang w:val="es-AR" w:eastAsia="es-AR" w:bidi="es-AR"/>
        </w:rPr>
        <w:t xml:space="preserve"> 	</w:t>
      </w:r>
      <w:r>
        <w:rPr>
          <w:lang w:val="es-AR" w:eastAsia="es-AR" w:bidi="es-AR"/>
        </w:rPr>
        <w:t xml:space="preserve">En este sentido, l</w:t>
      </w:r>
      <w:r>
        <w:rPr>
          <w:color w:val="000000"/>
          <w:shd w:val="clear" w:color="auto" w:fill="FFFFFF"/>
          <w:lang w:val="es-AR" w:eastAsia="es-AR" w:bidi="es-AR"/>
        </w:rPr>
        <w:t xml:space="preserve">a tasa pasiva digital es una tasa de interés aparente por cuanto </w:t>
      </w:r>
      <w:r>
        <w:rPr>
          <w:color w:val="000000"/>
          <w:lang w:val="es-AR" w:eastAsia="es-AR" w:bidi="es-AR"/>
        </w:rPr>
        <w:t xml:space="preserve">no se integra exclusivamente con la rentabilidad pura del capital (interés puro), sino que se desliza en ella una serie de componentes de importancia, denominados </w:t>
      </w:r>
      <w:r>
        <w:rPr>
          <w:i/>
          <w:color w:val="000000"/>
          <w:lang w:val="es-AR" w:eastAsia="es-AR" w:bidi="es-AR"/>
        </w:rPr>
        <w:t xml:space="preserve">“escorias”</w:t>
      </w:r>
      <w:r>
        <w:rPr>
          <w:color w:val="000000"/>
          <w:lang w:val="es-AR" w:eastAsia="es-AR" w:bidi="es-AR"/>
        </w:rPr>
        <w:t xml:space="preserve">, que tienen fuerte incidencia a la hora de su determinación y que, por lo general, actúan como factor idóneo para incrementarla.	 </w:t>
        <w:br w:type="textWrapping"/>
      </w:r>
      <w:r>
        <w:rPr>
          <w:color w:val="000000"/>
          <w:lang w:val="es-AR" w:eastAsia="es-AR" w:bidi="es-AR"/>
        </w:rPr>
        <w:t xml:space="preserve"> 	Una de las principales escorias que se introduce en la tasa de interés aparente es la prima por desvalorización de la moneda durante el tiempo que transcurra hasta el recupero del capital, operando la tasa de interés como un parámetro de ajuste por depreciación de la moneda. Dicho de otro modo, se incluye en la tasa de interés una prima por la posible pérdida del poder adquisitivo de la moneda durante el tiempo que pueda transcurrir hasta el momento del recupero del dinero. Esta estimación se sustenta en una operación prospectiva que se efectúa en función de las circunstancias de tiempo y lugar. 	</w:t>
        <w:br w:type="textWrapping"/>
      </w:r>
      <w:r>
        <w:rPr>
          <w:color w:val="000000"/>
          <w:lang w:val="es-AR" w:eastAsia="es-AR" w:bidi="es-AR"/>
        </w:rPr>
        <w:t xml:space="preserve"> 	En épocas de gran inflación como la actual, la tasa aplicable a los depósitos en moneda nacional se ajusta más a una tasa aparente que a una tasa pura. De hecho, esto es lo que ocurre en la realidad económica argentina, en la que la tasa de interés aparente para los depósitos en pesos ha alcanzado niveles sorprendentes, incluso superiores al cuarenta por ciento. Ello por cuanto se prevé para el período de préstamo una inflación elevada que, de resultar mayor a la contemplada en la tasa de interés, importa una pérdida para el prestamista, razón por la cual se la conoce como tasa de interés negativa En cambio, es positiva si permanece por debajo de los niveles inflacionarios.</w:t>
      </w:r>
      <w:r>
        <w:rPr>
          <w:lang w:val="es-AR" w:eastAsia="es-AR" w:bidi="es-AR"/>
        </w:rPr>
        <w:t xml:space="preserve"> 	</w:t>
        <w:br w:type="textWrapping"/>
      </w:r>
      <w:r>
        <w:rPr>
          <w:lang w:val="es-AR" w:eastAsia="es-AR" w:bidi="es-AR"/>
        </w:rPr>
        <w:t xml:space="preserve"> 	</w:t>
      </w:r>
      <w:r>
        <w:rPr>
          <w:color w:val="000000"/>
          <w:lang w:val="es-AR" w:eastAsia="es-AR" w:bidi="es-AR"/>
        </w:rPr>
        <w:t xml:space="preserve">Hecha esta digresión, puedo advertir que como regla cuando se dicta una condena sobre la base de valores históricos corresponde fijar una tasa de interés aparente, a fin de resguardar el valor económico de la obligación frente al efecto inflacionario acaecido durante el tiempo que transcurre entre el momento del daño y el momento del efectivo pago. En cambio, cuando se establece el monto de la obligación a valores actuales, ajustando el quantum de la condena a los valores vigentes al tiempo de la sentencia, la tasa de interés aplicable debería aproximarse a una tasa de interés pura y, a partir de aquélla, una tasa de interés aparente. 	</w:t>
      </w:r>
      <w:r>
        <w:rPr>
          <w:lang w:val="es-AR" w:eastAsia="es-AR" w:bidi="es-AR"/>
        </w:rPr>
        <w:br w:type="textWrapping"/>
      </w:r>
      <w:r>
        <w:rPr>
          <w:lang w:val="es-AR" w:eastAsia="es-AR" w:bidi="es-AR"/>
        </w:rPr>
        <w:t xml:space="preserve"> 	Así, corresponde decir que no se trata de modificar el interés que tiene como función indemnizar el daño moratorio (que se debe por el retraso en el cumplimiento de la obligación). Sino que, lo que ahora dispone nuestro Superior Tribunal es evitar que estos intereses asuman en definitiva una función que no le corresponde, esto es mantener el valor económico de un capital que, en nuestro caso particular ya se encuentra expresado en valores actuales (art. 622 del Cód.Civ. -Ley 340- y 768 y sig. del Cód.Civ.Com. -Ley 26.994). 	</w:t>
        <w:br w:type="textWrapping"/>
      </w:r>
      <w:r>
        <w:rPr>
          <w:lang w:val="es-AR" w:eastAsia="es-AR" w:bidi="es-AR"/>
        </w:rPr>
        <w:t xml:space="preserve"> 	En virtud de ello, propongo la aplicación de una </w:t>
      </w:r>
      <w:r>
        <w:rPr>
          <w:color w:val="000000"/>
          <w:lang w:val="es-AR" w:eastAsia="es-AR" w:bidi="es-AR"/>
        </w:rPr>
        <w:t xml:space="preserve">tasa pura del 6% a devengarse desde la fecha del hecho dañoso (15/12/2007) hasta la fecha de esta sentencia.  Y desde allí se aplicará la tasa pasiva más alta que paga el Banco de la Provincia de Buenos Aires para sus</w:t>
      </w:r>
      <w:r>
        <w:rPr>
          <w:lang w:val="es-AR" w:eastAsia="es-AR" w:bidi="es-AR"/>
        </w:rPr>
        <w:t xml:space="preserve"> depósitos a treinta días </w:t>
      </w:r>
      <w:r>
        <w:rPr>
          <w:color w:val="000000"/>
          <w:lang w:val="es-AR" w:eastAsia="es-AR" w:bidi="es-AR"/>
        </w:rPr>
        <w:t xml:space="preserve">hasta el momento del efectivo pago </w:t>
      </w:r>
      <w:r>
        <w:rPr>
          <w:lang w:val="es-AR" w:eastAsia="es-AR" w:bidi="es-AR"/>
        </w:rPr>
        <w:t xml:space="preserve">(Cf. causas C. 101.774, "Ponce" y L. 94.446, "Ginossi" (ambas sents. de 21-X-2009) y C. 119.176, "Cabrera" (sent. de 15-VI-2016, y arts. 1737, 1738, 1739, 1740, 1744 y 1746 y Ccs. del Cgo. Civil, art. 165 del C.P.C. y C.).	</w:t>
        <w:br w:type="textWrapping"/>
      </w:r>
      <w:r>
        <w:rPr>
          <w:lang w:val="es-AR" w:eastAsia="es-AR" w:bidi="es-AR"/>
        </w:rPr>
        <w:t xml:space="preserve"> 	Excepcionalmente, los intereses aplicables al daño psíquico se devengarán desde la fecha del hecho dañoso </w:t>
      </w:r>
      <w:r>
        <w:rPr>
          <w:color w:val="000000"/>
          <w:lang w:val="es-AR" w:eastAsia="es-AR" w:bidi="es-AR"/>
        </w:rPr>
        <w:t xml:space="preserve">(15/12/2007) hasta</w:t>
      </w:r>
      <w:r>
        <w:rPr>
          <w:lang w:val="es-AR" w:eastAsia="es-AR" w:bidi="es-AR"/>
        </w:rPr>
        <w:t xml:space="preserve"> la fecha de la pericia psicológica (18/09/2013) pues los valores tenidos en cuenta como base para la cuantificación del rubro en cuestión fueron establecidos en dicha fecha.  Y de allí en adelante y hasta el momento del efectivo pago a </w:t>
      </w:r>
      <w:r>
        <w:rPr>
          <w:color w:val="000000"/>
          <w:lang w:val="es-AR" w:eastAsia="es-AR" w:bidi="es-AR"/>
        </w:rPr>
        <w:t xml:space="preserve">la tasa pasiva más alta que paga el Banco de la Provincia de Buenos Aires para sus</w:t>
      </w:r>
      <w:r>
        <w:rPr>
          <w:lang w:val="es-AR" w:eastAsia="es-AR" w:bidi="es-AR"/>
        </w:rPr>
        <w:t xml:space="preserve"> depósitos a treinta días. De similar modo, los intereses aplicables al rubro </w:t>
      </w:r>
      <w:r>
        <w:rPr>
          <w:i/>
          <w:lang w:val="es-AR" w:eastAsia="es-AR" w:bidi="es-AR"/>
        </w:rPr>
        <w:t xml:space="preserve">"adquisición de vivienda" </w:t>
      </w:r>
      <w:r>
        <w:rPr>
          <w:lang w:val="es-AR" w:eastAsia="es-AR" w:bidi="es-AR"/>
        </w:rPr>
        <w:t xml:space="preserve"> se devengarán desde la fecha del hecho dañoso </w:t>
      </w:r>
      <w:r>
        <w:rPr>
          <w:color w:val="000000"/>
          <w:lang w:val="es-AR" w:eastAsia="es-AR" w:bidi="es-AR"/>
        </w:rPr>
        <w:t xml:space="preserve">(15/12/2007) hasta</w:t>
      </w:r>
      <w:r>
        <w:rPr>
          <w:lang w:val="es-AR" w:eastAsia="es-AR" w:bidi="es-AR"/>
        </w:rPr>
        <w:t xml:space="preserve"> la fecha de la pericia arquitectónica (6/7/2015) pues los valores tenidos en cuenta como base para la cuantificación del rubro en cuestión fueron establecidos en dicha fecha.  Y de allí en adelante y hasta el momento del efectivo pago a </w:t>
      </w:r>
      <w:r>
        <w:rPr>
          <w:color w:val="000000"/>
          <w:lang w:val="es-AR" w:eastAsia="es-AR" w:bidi="es-AR"/>
        </w:rPr>
        <w:t xml:space="preserve">la tasa pasiva más alta que paga el Banco de la Provincia de Buenos Aires para sus</w:t>
      </w:r>
      <w:r>
        <w:rPr>
          <w:lang w:val="es-AR" w:eastAsia="es-AR" w:bidi="es-AR"/>
        </w:rPr>
        <w:t xml:space="preserve"> depósitos a treinta días. En cuanto a los gastos médicos referidos en el punto VI, los intereses se devengarán a una tasa pura del 6% desde el momento del hecho hasta la sentencia de primera instancia. Y de allí en adelante a la tasa pasiva más alta </w:t>
      </w:r>
      <w:r>
        <w:rPr>
          <w:color w:val="000000"/>
          <w:lang w:val="es-AR" w:eastAsia="es-AR" w:bidi="es-AR"/>
        </w:rPr>
        <w:t xml:space="preserve">que paga el Banco de la Provincia de Buenos Aires para sus</w:t>
      </w:r>
      <w:r>
        <w:rPr>
          <w:lang w:val="es-AR" w:eastAsia="es-AR" w:bidi="es-AR"/>
        </w:rPr>
        <w:t xml:space="preserve"> depósitos a treinta días. 	</w:t>
        <w:br w:type="textWrapping"/>
      </w:r>
      <w:r>
        <w:rPr>
          <w:lang w:val="es-AR" w:eastAsia="es-AR" w:bidi="es-AR"/>
        </w:rPr>
        <w:t xml:space="preserve"> 	Resta decir que la objeción planteada por las partes codemandadas respecto a la tardanza de las accionantes para iniciar el presente proceso no puede tener asidero. Es que en la medida de que la acción judicial incoada sea interpuesta dentro del plazo de prescripción, las partes accionantes quedan facultada para obtener íntegramente el reconocimiento de su derecho si se verificasen los presupuestos de procedencia de la pretensión procesal. El supuesto daño derivado de los mayores intereses que tendría que abonar las partes codemandada encuentra su correlato o compensación en la mayor disponibilidad o uso del capital indemnizatorio que éstas pudieron hacer como consecuencia del atraso. Por otra parte, no se observa ni se encuentra acreditado que haya mediado especulación en el accionar de las demandantes que autorice a tener por verificado un ejercicio abusivo del derecho.	</w:t>
        <w:br w:type="textWrapping"/>
      </w:r>
      <w:r>
        <w:rPr>
          <w:lang w:val="es-AR" w:eastAsia="es-AR" w:bidi="es-AR"/>
        </w:rPr>
        <w:t xml:space="preserve"> 	Por las razones dadas, citas legales de referencia y con el alcance indicado.- </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por análogos fundamentos, los señores jueces Renato Santore y Leonardo Villanueva</w:t>
      </w:r>
      <w:r>
        <w:rPr>
          <w:b/>
          <w:color w:val="000000"/>
          <w:lang w:val="es-AR" w:eastAsia="es-AR" w:bidi="es-AR"/>
        </w:rPr>
        <w:t xml:space="preserve"> </w:t>
      </w:r>
      <w:r>
        <w:rPr>
          <w:lang w:val="es-AR" w:eastAsia="es-AR" w:bidi="es-AR"/>
        </w:rPr>
        <w:t xml:space="preserve">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Ramiro Guerrico</w:t>
      </w:r>
      <w:r>
        <w:rPr>
          <w:color w:val="000000"/>
          <w:lang w:val="es-AR" w:eastAsia="es-AR" w:bidi="es-AR"/>
        </w:rPr>
        <w:t xml:space="preserve"> </w:t>
      </w:r>
      <w:r>
        <w:rPr>
          <w:lang w:val="es-AR" w:eastAsia="es-AR" w:bidi="es-AR"/>
        </w:rPr>
        <w:t xml:space="preserve">dijo: De conformidad al resultado habido al tratarse la cuestión precedente, estimo que el pronunciamiento que corresponde dictar es: </w:t>
      </w:r>
    </w:p>
    <w:p>
      <w:pPr>
        <w:pStyle w:val="[Normal]"/>
        <w:spacing w:line="360" w:lineRule="auto"/>
        <w:ind w:firstLine="1134"/>
        <w:jc w:val="both"/>
        <w:rPr>
          <w:b/>
          <w:lang w:val="es-AR" w:eastAsia="es-AR" w:bidi="es-AR"/>
        </w:rPr>
      </w:pPr>
      <w:r>
        <w:rPr>
          <w:lang w:val="es-AR" w:eastAsia="es-AR" w:bidi="es-AR"/>
        </w:rPr>
        <w:t xml:space="preserve">1) Hacer lugar parcialmente a la apelación deducida por la parte actora en lo que hace a la cuantificación del daño, condenando a </w:t>
      </w:r>
      <w:r>
        <w:rPr>
          <w:color w:val="000000"/>
          <w:lang w:val="es-AR" w:eastAsia="es-AR" w:bidi="es-AR"/>
        </w:rPr>
        <w:t xml:space="preserve">condenar a A.O. G. y a la Clínica Gral Paz, y a la Aseguradora Seguros Médicos S.A.</w:t>
      </w:r>
      <w:r>
        <w:rPr>
          <w:lang w:val="es-AR" w:eastAsia="es-AR" w:bidi="es-AR"/>
        </w:rPr>
        <w:t xml:space="preserve"> (ésta última en la medida y con las limitaciones del contrato de seguro) a abonar a las partes actoras dentro de los diez días de notificada la presente: </w:t>
      </w:r>
      <w:r>
        <w:rPr>
          <w:b/>
          <w:lang w:val="es-AR" w:eastAsia="es-AR" w:bidi="es-AR"/>
        </w:rPr>
        <w:t xml:space="preserve">a) </w:t>
      </w:r>
      <w:r>
        <w:rPr>
          <w:b/>
          <w:u w:val="single"/>
          <w:lang w:val="es-AR" w:eastAsia="es-AR" w:bidi="es-AR"/>
        </w:rPr>
        <w:t xml:space="preserve">Enzo Alvarez</w:t>
      </w:r>
      <w:r>
        <w:rPr>
          <w:b/>
          <w:lang w:val="es-AR" w:eastAsia="es-AR" w:bidi="es-AR"/>
        </w:rPr>
        <w:t xml:space="preserve">:</w:t>
      </w:r>
      <w:r>
        <w:rPr>
          <w:lang w:val="es-AR" w:eastAsia="es-AR" w:bidi="es-AR"/>
        </w:rPr>
        <w:t xml:space="preserve"> la suma de seis millones quinientos cuarenta mil seiscientos setenta y seis pesos </w:t>
      </w:r>
      <w:r>
        <w:rPr>
          <w:b/>
          <w:lang w:val="es-AR" w:eastAsia="es-AR" w:bidi="es-AR"/>
        </w:rPr>
        <w:t xml:space="preserve">($ </w:t>
      </w:r>
      <w:r>
        <w:rPr>
          <w:b/>
          <w:color w:val="000000"/>
          <w:lang w:val="es-AR" w:eastAsia="es-AR" w:bidi="es-AR"/>
        </w:rPr>
        <w:t xml:space="preserve">6.540.676)</w:t>
      </w:r>
      <w:r>
        <w:rPr>
          <w:color w:val="000000"/>
          <w:lang w:val="es-AR" w:eastAsia="es-AR" w:bidi="es-AR"/>
        </w:rPr>
        <w:t xml:space="preserve"> con más intereses en la forma dispuesta en el punto IX de la presente sentencia. Además, a abonar en forma mensual y consecutiva del 1 al 10 de cada mes, la suma correspondiente al salario mínimo vital y móvil, monto que implica el piso salarial que debe percibir cualquier trabajador en el país por una jornada de ocho horas (Consejo Nacional del Empleo, la Productividad y el salario Mínimo Vital y Móvil), aclarando que la obligación de pagar este concepto se hará extensiva hasta el fallecimiento de Enzo Alvarez y que, por tratarse de una obligación de valor periódica, deberá liquidarse de acuerdo al valor vigente del salario mínimo, vital y móvil durante el mes en que deba realizarse dicho pago. En caso de retardo en el cumplimiento de la obligación, corresponderá aplicar </w:t>
      </w:r>
      <w:r>
        <w:rPr>
          <w:lang w:val="es-AR" w:eastAsia="es-AR" w:bidi="es-AR"/>
        </w:rPr>
        <w:t xml:space="preserve">la tasa pasiva más alta </w:t>
      </w:r>
      <w:r>
        <w:rPr>
          <w:color w:val="000000"/>
          <w:lang w:val="es-AR" w:eastAsia="es-AR" w:bidi="es-AR"/>
        </w:rPr>
        <w:t xml:space="preserve">que paga el Banco de la Provincia de Buenos Aires para sus</w:t>
      </w:r>
      <w:r>
        <w:rPr>
          <w:lang w:val="es-AR" w:eastAsia="es-AR" w:bidi="es-AR"/>
        </w:rPr>
        <w:t xml:space="preserve"> depósitos a treinta días, desde la mora hasta el efectivo pago. </w:t>
      </w:r>
      <w:r>
        <w:rPr>
          <w:b/>
          <w:color w:val="000000"/>
          <w:lang w:val="es-AR" w:eastAsia="es-AR" w:bidi="es-AR"/>
        </w:rPr>
        <w:t xml:space="preserve">b) </w:t>
      </w:r>
      <w:r>
        <w:rPr>
          <w:b/>
          <w:color w:val="000000"/>
          <w:u w:val="single"/>
          <w:lang w:val="es-AR" w:eastAsia="es-AR" w:bidi="es-AR"/>
        </w:rPr>
        <w:t xml:space="preserve">Alberto Alvarez</w:t>
      </w:r>
      <w:r>
        <w:rPr>
          <w:b/>
          <w:color w:val="000000"/>
          <w:lang w:val="es-AR" w:eastAsia="es-AR" w:bidi="es-AR"/>
        </w:rPr>
        <w:t xml:space="preserve">:</w:t>
      </w:r>
      <w:r>
        <w:rPr>
          <w:color w:val="000000"/>
          <w:lang w:val="es-AR" w:eastAsia="es-AR" w:bidi="es-AR"/>
        </w:rPr>
        <w:t xml:space="preserve"> la suma de un millón doscientos cuatro mil quinientos pesos </w:t>
      </w:r>
      <w:r>
        <w:rPr>
          <w:b/>
          <w:color w:val="000000"/>
          <w:lang w:val="es-AR" w:eastAsia="es-AR" w:bidi="es-AR"/>
        </w:rPr>
        <w:t xml:space="preserve">($ 1.204.500)</w:t>
      </w:r>
      <w:r>
        <w:rPr>
          <w:color w:val="000000"/>
          <w:lang w:val="es-AR" w:eastAsia="es-AR" w:bidi="es-AR"/>
        </w:rPr>
        <w:t xml:space="preserve"> con más intereses en la forma dispuesta en el punto IX de la presente sentencia, </w:t>
      </w:r>
      <w:r>
        <w:rPr>
          <w:b/>
          <w:color w:val="000000"/>
          <w:lang w:val="es-AR" w:eastAsia="es-AR" w:bidi="es-AR"/>
        </w:rPr>
        <w:t xml:space="preserve">c) Lorena Silvina Couto:</w:t>
      </w:r>
      <w:r>
        <w:rPr>
          <w:color w:val="000000"/>
          <w:lang w:val="es-AR" w:eastAsia="es-AR" w:bidi="es-AR"/>
        </w:rPr>
        <w:t xml:space="preserve"> la suma de un millón doscientos cuatro mil quinientos pesos </w:t>
      </w:r>
      <w:r>
        <w:rPr>
          <w:b/>
          <w:color w:val="000000"/>
          <w:lang w:val="es-AR" w:eastAsia="es-AR" w:bidi="es-AR"/>
        </w:rPr>
        <w:t xml:space="preserve">($ 1.204.500)</w:t>
      </w:r>
      <w:r>
        <w:rPr>
          <w:color w:val="000000"/>
          <w:lang w:val="es-AR" w:eastAsia="es-AR" w:bidi="es-AR"/>
        </w:rPr>
        <w:t xml:space="preserve"> con más intereses en la forma dispuesta en el punto IX de la presente sentencia.</w:t>
      </w:r>
      <w:r>
        <w:rPr>
          <w:b/>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2) Rechazar parcialmente el recurso de apelación deducido por el Sr. A.O.G, Clínica General Paz y la citada en garantía Seguros Médicos S.A.</w:t>
      </w:r>
    </w:p>
    <w:p>
      <w:pPr>
        <w:pStyle w:val="[Normal]"/>
        <w:spacing w:line="360" w:lineRule="auto"/>
        <w:ind w:firstLine="1134"/>
        <w:jc w:val="both"/>
        <w:rPr>
          <w:lang w:val="es-AR" w:eastAsia="es-AR" w:bidi="es-AR"/>
        </w:rPr>
      </w:pPr>
      <w:r>
        <w:rPr>
          <w:lang w:val="es-AR" w:eastAsia="es-AR" w:bidi="es-AR"/>
        </w:rPr>
        <w:t xml:space="preserve">3) Imponer las costas de esta instancia en un 85% para los codemandados A.O.G, Clínica General Paz y la citada en garantía Seguros Médicos S.A. -ésta última en las condiciones de la cobertura contratada- y en un 15% para los actores Enzo Alvarez, Alberto Alvarez (art. 68 y 71 del CPCCBA).</w:t>
      </w:r>
    </w:p>
    <w:p>
      <w:pPr>
        <w:pStyle w:val="[Normal]"/>
        <w:spacing w:line="360" w:lineRule="auto"/>
        <w:ind w:firstLine="1134"/>
        <w:jc w:val="both"/>
        <w:rPr>
          <w:lang w:val="es-AR" w:eastAsia="es-AR" w:bidi="es-AR"/>
        </w:rPr>
      </w:pPr>
      <w:r>
        <w:rPr>
          <w:lang w:val="es-AR" w:eastAsia="es-AR" w:bidi="es-AR"/>
        </w:rPr>
        <w:t xml:space="preserve">4) Diferir la regulación de honorarios hasta tanto exista regulación total de los de primera instancia.</w:t>
      </w:r>
    </w:p>
    <w:p>
      <w:pPr>
        <w:pStyle w:val="[Normal]"/>
        <w:spacing w:line="360" w:lineRule="auto"/>
        <w:ind w:firstLine="1134"/>
        <w:jc w:val="both"/>
        <w:rPr>
          <w:lang w:val="es-AR" w:eastAsia="es-AR" w:bidi="es-AR"/>
        </w:rPr>
      </w:pPr>
      <w:r>
        <w:rPr>
          <w:lang w:val="es-AR" w:eastAsia="es-AR" w:bidi="es-AR"/>
        </w:rPr>
        <w:t xml:space="preserve">A la misma cuestión por análogos fundamentos, los señores jueces Renato Santore y Leonardo Villanueva</w:t>
      </w:r>
      <w:r>
        <w:rPr>
          <w:b/>
          <w:color w:val="000000"/>
          <w:lang w:val="es-AR" w:eastAsia="es-AR" w:bidi="es-AR"/>
        </w:rPr>
        <w:t xml:space="preserve"> </w:t>
      </w:r>
      <w:r>
        <w:rPr>
          <w:lang w:val="es-AR" w:eastAsia="es-AR" w:bidi="es-AR"/>
        </w:rPr>
        <w:t xml:space="preserve">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b/>
          <w:lang w:val="es-AR" w:eastAsia="es-AR" w:bidi="es-AR"/>
        </w:rPr>
      </w:pPr>
      <w:r>
        <w:rPr>
          <w:lang w:val="es-AR" w:eastAsia="es-AR" w:bidi="es-AR"/>
        </w:rPr>
        <w:t xml:space="preserve">1) Hacer lugar parcialmente a la apelación deducida por la parte actora en lo que hace a la cuantificación del daño, condenando a </w:t>
      </w:r>
      <w:r>
        <w:rPr>
          <w:color w:val="000000"/>
          <w:lang w:val="es-AR" w:eastAsia="es-AR" w:bidi="es-AR"/>
        </w:rPr>
        <w:t xml:space="preserve">condenar a A.O. G. y a la Clínica Gral Paz, y a la Aseguradora Seguros Médicos S.A.</w:t>
      </w:r>
      <w:r>
        <w:rPr>
          <w:lang w:val="es-AR" w:eastAsia="es-AR" w:bidi="es-AR"/>
        </w:rPr>
        <w:t xml:space="preserve"> (ésta última en la medida y con las limitaciones del contrato de seguro) a abonar a las partes actoras dentro de los diez días de notificada la presente: </w:t>
      </w:r>
      <w:r>
        <w:rPr>
          <w:b/>
          <w:lang w:val="es-AR" w:eastAsia="es-AR" w:bidi="es-AR"/>
        </w:rPr>
        <w:t xml:space="preserve">a) </w:t>
      </w:r>
      <w:r>
        <w:rPr>
          <w:b/>
          <w:u w:val="single"/>
          <w:lang w:val="es-AR" w:eastAsia="es-AR" w:bidi="es-AR"/>
        </w:rPr>
        <w:t xml:space="preserve">Enzo Alvarez</w:t>
      </w:r>
      <w:r>
        <w:rPr>
          <w:b/>
          <w:lang w:val="es-AR" w:eastAsia="es-AR" w:bidi="es-AR"/>
        </w:rPr>
        <w:t xml:space="preserve">:</w:t>
      </w:r>
      <w:r>
        <w:rPr>
          <w:lang w:val="es-AR" w:eastAsia="es-AR" w:bidi="es-AR"/>
        </w:rPr>
        <w:t xml:space="preserve"> la suma de seis millones quinientos cuarenta mil seiscientos setenta y seis pesos </w:t>
      </w:r>
      <w:r>
        <w:rPr>
          <w:b/>
          <w:lang w:val="es-AR" w:eastAsia="es-AR" w:bidi="es-AR"/>
        </w:rPr>
        <w:t xml:space="preserve">($ </w:t>
      </w:r>
      <w:r>
        <w:rPr>
          <w:b/>
          <w:color w:val="000000"/>
          <w:lang w:val="es-AR" w:eastAsia="es-AR" w:bidi="es-AR"/>
        </w:rPr>
        <w:t xml:space="preserve">6.540.676) </w:t>
      </w:r>
      <w:r>
        <w:rPr>
          <w:color w:val="000000"/>
          <w:lang w:val="es-AR" w:eastAsia="es-AR" w:bidi="es-AR"/>
        </w:rPr>
        <w:t xml:space="preserve">con más intereses en la forma dispuesta en el punto IX de la presente sentencia. Además, a abonar en forma mensual y consecutiva del 1 al 10 de cada mes, la suma correspondiente al salario mínimo vital y móvil, monto que implica el piso salarial que debe percibir cualquier trabajador en el país por una jornada de ocho horas (Consejo Nacional del Empleo, la Productividad y el salario Mínimo Vital y Móvil), aclarando que la obligación de pagar este concepto se hará extensiva hasta el fallecimiento de Enzo Alvarez y que, por tratarse de una obligación de valor periódica, deberá liquidarse de acuerdo al valor vigente del salario mínimo, vital y móvil durante el mes en que deba realizarse dicho pago. En caso de retardo en el cumplimiento de la obligación, corresponderá aplicar </w:t>
      </w:r>
      <w:r>
        <w:rPr>
          <w:lang w:val="es-AR" w:eastAsia="es-AR" w:bidi="es-AR"/>
        </w:rPr>
        <w:t xml:space="preserve">la tasa pasiva más alta </w:t>
      </w:r>
      <w:r>
        <w:rPr>
          <w:color w:val="000000"/>
          <w:lang w:val="es-AR" w:eastAsia="es-AR" w:bidi="es-AR"/>
        </w:rPr>
        <w:t xml:space="preserve">que paga el Banco de la Provincia de Buenos Aires para sus</w:t>
      </w:r>
      <w:r>
        <w:rPr>
          <w:lang w:val="es-AR" w:eastAsia="es-AR" w:bidi="es-AR"/>
        </w:rPr>
        <w:t xml:space="preserve"> depósitos a treinta días, desde la mora hasta el efectivo pago. </w:t>
      </w:r>
      <w:r>
        <w:rPr>
          <w:b/>
          <w:color w:val="000000"/>
          <w:lang w:val="es-AR" w:eastAsia="es-AR" w:bidi="es-AR"/>
        </w:rPr>
        <w:t xml:space="preserve">b) </w:t>
      </w:r>
      <w:r>
        <w:rPr>
          <w:b/>
          <w:color w:val="000000"/>
          <w:u w:val="single"/>
          <w:lang w:val="es-AR" w:eastAsia="es-AR" w:bidi="es-AR"/>
        </w:rPr>
        <w:t xml:space="preserve">Alberto Alvarez</w:t>
      </w:r>
      <w:r>
        <w:rPr>
          <w:b/>
          <w:color w:val="000000"/>
          <w:lang w:val="es-AR" w:eastAsia="es-AR" w:bidi="es-AR"/>
        </w:rPr>
        <w:t xml:space="preserve">:</w:t>
      </w:r>
      <w:r>
        <w:rPr>
          <w:color w:val="000000"/>
          <w:lang w:val="es-AR" w:eastAsia="es-AR" w:bidi="es-AR"/>
        </w:rPr>
        <w:t xml:space="preserve"> la suma de un millón doscientos cuatro mil quinientos pesos </w:t>
      </w:r>
      <w:r>
        <w:rPr>
          <w:b/>
          <w:color w:val="000000"/>
          <w:lang w:val="es-AR" w:eastAsia="es-AR" w:bidi="es-AR"/>
        </w:rPr>
        <w:t xml:space="preserve">($ 1.204.500)</w:t>
      </w:r>
      <w:r>
        <w:rPr>
          <w:color w:val="000000"/>
          <w:lang w:val="es-AR" w:eastAsia="es-AR" w:bidi="es-AR"/>
        </w:rPr>
        <w:t xml:space="preserve"> con más intereses en la forma dispuesta en el punto IX de la presente sentencia, </w:t>
      </w:r>
      <w:r>
        <w:rPr>
          <w:b/>
          <w:color w:val="000000"/>
          <w:lang w:val="es-AR" w:eastAsia="es-AR" w:bidi="es-AR"/>
        </w:rPr>
        <w:t xml:space="preserve">c) Lorena Silvina Couto:</w:t>
      </w:r>
      <w:r>
        <w:rPr>
          <w:color w:val="000000"/>
          <w:lang w:val="es-AR" w:eastAsia="es-AR" w:bidi="es-AR"/>
        </w:rPr>
        <w:t xml:space="preserve"> la suma de un millón doscientos cuatro mil quinientos pesos </w:t>
      </w:r>
      <w:r>
        <w:rPr>
          <w:b/>
          <w:color w:val="000000"/>
          <w:lang w:val="es-AR" w:eastAsia="es-AR" w:bidi="es-AR"/>
        </w:rPr>
        <w:t xml:space="preserve">($ 1.204.500)</w:t>
      </w:r>
      <w:r>
        <w:rPr>
          <w:color w:val="000000"/>
          <w:lang w:val="es-AR" w:eastAsia="es-AR" w:bidi="es-AR"/>
        </w:rPr>
        <w:t xml:space="preserve"> con más intereses en la forma dispuesta en el punto IX de la presente sentencia.</w:t>
      </w:r>
      <w:r>
        <w:rPr>
          <w:b/>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2) Rechazar parcialmente el recurso de apelación deducido por el Sr. A.O.G, Clínica General Paz y la citada en garantía Seguros Médicos S.A.</w:t>
      </w:r>
    </w:p>
    <w:p>
      <w:pPr>
        <w:pStyle w:val="[Normal]"/>
        <w:spacing w:line="360" w:lineRule="auto"/>
        <w:ind w:firstLine="1134"/>
        <w:jc w:val="both"/>
        <w:rPr>
          <w:lang w:val="es-AR" w:eastAsia="es-AR" w:bidi="es-AR"/>
        </w:rPr>
      </w:pPr>
      <w:r>
        <w:rPr>
          <w:lang w:val="es-AR" w:eastAsia="es-AR" w:bidi="es-AR"/>
        </w:rPr>
        <w:t xml:space="preserve">3) Imponer las costas de esta instancia en un 85% para los codemandados A.O.G, Clínica General Paz y la citada en garantía Seguros Médicos S.A. -ésta última en las condiciones de la cobertura contratada- y en un 15% para los actores Enzo Alvarez, Alberto Alvarez (art. 68 y 71 del CPCCBA).</w:t>
      </w:r>
    </w:p>
    <w:p>
      <w:pPr>
        <w:pStyle w:val="[Normal]"/>
        <w:spacing w:line="360" w:lineRule="auto"/>
        <w:ind w:firstLine="1134"/>
        <w:jc w:val="both"/>
        <w:rPr>
          <w:lang w:val="es-AR" w:eastAsia="es-AR" w:bidi="es-AR"/>
        </w:rPr>
      </w:pPr>
      <w:r>
        <w:rPr>
          <w:lang w:val="es-AR" w:eastAsia="es-AR" w:bidi="es-AR"/>
        </w:rPr>
        <w:t xml:space="preserve">4) Diferir la regulación de honorarios hasta tanto exista regulación total de los de primera instancia.</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r>
        <w:rPr>
          <w:noProof/>
          <w:color w:val="000000"/>
          <w:lang w:val="es-AR" w:eastAsia="es-AR" w:bidi="es-AR"/>
        </w:rPr>
        <w:t xml:space="preserve">AADBA@MPBA.GOV.AR</w:t>
      </w:r>
    </w:p>
    <w:p>
      <w:pPr>
        <w:pStyle w:val="[Normal]"/>
        <w:spacing w:line="360" w:lineRule="auto"/>
        <w:jc w:val="both"/>
        <w:rPr>
          <w:color w:val="000000"/>
          <w:lang w:val="es-AR" w:eastAsia="es-AR" w:bidi="es-AR"/>
        </w:rPr>
      </w:pPr>
    </w:p>
    <w:p>
      <w:pPr>
        <w:pStyle w:val="[Normal]"/>
        <w:spacing w:line="360" w:lineRule="auto"/>
        <w:jc w:val="both"/>
        <w:rPr>
          <w:color w:val="000000"/>
          <w:lang w:val="es-AR" w:eastAsia="es-AR" w:bidi="es-AR"/>
        </w:rPr>
      </w:pPr>
      <w:r>
        <w:rPr>
          <w:noProof/>
          <w:color w:val="000000"/>
          <w:lang w:val="es-AR" w:eastAsia="es-AR" w:bidi="es-AR"/>
        </w:rPr>
        <w:t xml:space="preserve">20256234387@NOTIFICACIONES.SCBA.GOV.AR</w:t>
      </w:r>
    </w:p>
    <w:p>
      <w:pPr>
        <w:pStyle w:val="[Normal]"/>
        <w:spacing w:line="360" w:lineRule="auto"/>
        <w:jc w:val="both"/>
        <w:rPr>
          <w:color w:val="000000"/>
          <w:lang w:val="es-AR" w:eastAsia="es-AR" w:bidi="es-AR"/>
        </w:rPr>
      </w:pPr>
    </w:p>
    <w:p>
      <w:pPr>
        <w:pStyle w:val="[Normal]"/>
        <w:spacing w:line="360" w:lineRule="auto"/>
        <w:jc w:val="both"/>
        <w:rPr>
          <w:color w:val="000000"/>
          <w:lang w:val="es-AR" w:eastAsia="es-AR" w:bidi="es-AR"/>
        </w:rPr>
      </w:pPr>
      <w:r>
        <w:rPr>
          <w:noProof/>
          <w:color w:val="000000"/>
          <w:lang w:val="es-AR" w:eastAsia="es-AR" w:bidi="es-AR"/>
        </w:rPr>
        <w:t xml:space="preserve">20124347689@NOTIFICACIONES.SCBA.GOV.AR</w:t>
      </w:r>
    </w:p>
    <w:p>
      <w:pPr>
        <w:pStyle w:val="[Normal]"/>
        <w:spacing w:line="360" w:lineRule="auto"/>
        <w:jc w:val="both"/>
        <w:rPr>
          <w:color w:val="000000"/>
          <w:lang w:val="es-AR" w:eastAsia="es-AR" w:bidi="es-AR"/>
        </w:rPr>
      </w:pP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color w:val="000000"/>
          <w:lang w:val="es-AR" w:eastAsia="es-AR" w:bidi="es-AR"/>
        </w:rPr>
        <w:t xml:space="preserve">20251268879@NOTIFICACIONES.SCBA.GOV.AR</w:t>
      </w: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05/05/2021 08:55:17 - GUERRICO Ramiro Ricardo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05/05/2021 09:13:56 - SANTORE Renato Eduardo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05/05/2021 10:57:51 - VILLANUEVA Leonardo Miguel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05/05/2021 11:02:38 -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20124347689@NOTIFICACIONES.SCBA.GOV.AR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20251268879@NOTIFICACIONES.SCBA.GOV.AR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20256234387@NOTIFICACIONES.SCBA.GOV.AR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noProof/>
          <w:sz w:val="60"/>
        </w:rPr>
      </w:pPr>
      <w:r>
        <w:rPr>
          <w:rFonts w:ascii="BarCode 128" w:hAnsi="BarCode 128" w:eastAsia="BarCode 128" w:cs="BarCode 128"/>
          <w:noProof/>
          <w:sz w:val="60"/>
        </w:rPr>
        <w:t xml:space="preserve">‰8p")è%-wmzŠ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noProof/>
          <w:sz w:val="20"/>
        </w:rPr>
      </w:pPr>
      <w:r>
        <w:rPr>
          <w:noProof/>
          <w:sz w:val="20"/>
        </w:rPr>
        <w:t xml:space="preserve">248002090005138777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CONTIENE 1 ARCHIVO ADJUNTO</w:t>
      </w:r>
    </w:p>
    <w:p>
      <w:pPr>
        <w:pStyle w:val="[Normal]"/>
        <w:spacing w:line="360" w:lineRule="auto"/>
        <w:rPr>
          <w:noProof/>
        </w:rPr>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ourier New">
    <w:panose1 w:val="02070309020205020404"/>
    <w:charset w:val="00"/>
    <w:family w:val="modern"/>
    <w:pitch w:val="fixed"/>
    <w:sig w:usb0="E0002EFF" w:usb1="C0007843" w:usb2="00000009" w:usb3="00000000" w:csb0="400001FF" w:csb1="FFFF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2220 - 14 - ALVAREZ,  ALBERTO ADRIAN Y OTRO/A C/ CLINICA GENERAL PAZ Y OTROS S/ DAÑOS Y PERJ. DEL./CUAS. (EXC.USO AUT. Y ESTADO)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‰8p")è%-wmzŠ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248002090005138777</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Hyperlink">
    <w:name w:val="Hyperlink"/>
    <w:qFormat/>
    <w:rPr>
      <w:rFonts w:ascii="Times New Roman" w:hAnsi="Times New Roman" w:eastAsia="Times New Roman" w:cs="Times New Roman"/>
      <w:color w:val="0563C1"/>
      <w:u w:val="single"/>
      <w:rtl w:val="off"/>
      <w:lang w:val="x-none" w:eastAsia="x-none" w:bidi="x-none"/>
    </w:rPr>
  </w:style>
  <w:style w:type="paragraph" w:styleId="Normal">
    <w:name w:val="Normal"/>
    <w:next w:val="Normal"/>
    <w:qFormat/>
    <w:pPr>
      <w:widowControl w:val="on"/>
      <w:shd w:val="clear" w:color="auto" w:fill="auto"/>
      <w:spacing w:before="0" w:after="0" w:line="240" w:lineRule="auto"/>
      <w:ind w:left="0" w:right="0" w:firstLine="0"/>
      <w:jc w:val="left"/>
    </w:pPr>
    <w:rPr>
      <w:rFonts w:ascii="Courier New" w:hAnsi="Courier New" w:eastAsia="Courier New" w:cs="Courier New"/>
      <w:b w:val="off"/>
      <w:bCs w:val="off"/>
      <w:i w:val="off"/>
      <w:iCs w:val="off"/>
      <w:strike w:val="off"/>
      <w:color w:val="auto"/>
      <w:position w:val="0"/>
      <w:sz w:val="24"/>
      <w:szCs w:val="24"/>
      <w:shd w:val="clear" w:color="auto" w:fill="auto"/>
      <w:rtl w:val="off"/>
      <w:lang w:val="x-none" w:eastAsia="x-none" w:bidi="x-none"/>
    </w:rPr>
  </w:style>
  <w:style w:type="paragraph" w:styleId="contentap">
    <w:name w:val="contentap"/>
    <w:basedOn w:val="Normal"/>
    <w:next w:val="contentap"/>
    <w:qFormat/>
    <w:pPr>
      <w:spacing w:before="100" w:after="100"/>
    </w:pPr>
    <w:rPr>
      <w:rFonts w:ascii="Times New Roman" w:hAnsi="Times New Roman" w:eastAsia="Times New Roman" w:cs="Times New Roman"/>
    </w:rPr>
  </w:style>
  <w:style w:type="character" w:styleId="Emphasis">
    <w:name w:val="Emphasis"/>
    <w:qFormat/>
    <w:rPr>
      <w:rFonts w:ascii="Times New Roman" w:hAnsi="Times New Roman" w:eastAsia="Times New Roman" w:cs="Times New Roman"/>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