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color w:val="000000"/>
          <w:lang w:val="es-AR" w:eastAsia="es-AR" w:bidi="es-AR"/>
        </w:rPr>
      </w:pPr>
      <w:r>
        <w:rPr>
          <w:b/>
          <w:lang w:val="es-AR" w:eastAsia="es-AR" w:bidi="es-AR"/>
        </w:rPr>
        <w:t xml:space="preserve">Registro N° 59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Folio N° 316/318</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6 de Mayo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i/>
          <w:color w:val="000000"/>
          <w:lang w:val="es-AR" w:eastAsia="es-AR" w:bidi="es-AR"/>
        </w:rPr>
        <w:t xml:space="preserve">2964-17</w:t>
      </w:r>
      <w:r>
        <w:rPr>
          <w:lang w:val="es-AR" w:eastAsia="es-AR" w:bidi="es-AR"/>
        </w:rPr>
        <w:t xml:space="preserve"> caratulados </w:t>
      </w:r>
      <w:r>
        <w:rPr>
          <w:b/>
          <w:i/>
          <w:lang w:val="es-AR" w:eastAsia="es-AR" w:bidi="es-AR"/>
        </w:rPr>
        <w:t xml:space="preserve">"</w:t>
      </w:r>
      <w:r>
        <w:rPr>
          <w:b/>
          <w:i/>
          <w:color w:val="000000"/>
          <w:lang w:val="es-AR" w:eastAsia="es-AR" w:bidi="es-AR"/>
        </w:rPr>
        <w:t xml:space="preserve">ROBLES MARIA GIMENA  C/ FERREYRA MARTIN S/INCIDENTE (EXCEPTO LOS TIPIFICADOS EXPRESAMENTE)</w:t>
      </w:r>
      <w:r>
        <w:rPr>
          <w:b/>
          <w:i/>
          <w:lang w:val="es-AR" w:eastAsia="es-AR" w:bidi="es-AR"/>
        </w:rPr>
        <w:t xml:space="preserve">"</w:t>
      </w:r>
      <w:r>
        <w:rPr>
          <w:b/>
          <w:lang w:val="es-AR" w:eastAsia="es-AR" w:bidi="es-AR"/>
        </w:rPr>
        <w:t xml:space="preserve">,</w:t>
      </w:r>
      <w:r>
        <w:rPr>
          <w:lang w:val="es-AR" w:eastAsia="es-AR" w:bidi="es-AR"/>
        </w:rPr>
        <w:t xml:space="preserve"> Expte. N° </w:t>
      </w:r>
      <w:r>
        <w:rPr>
          <w:color w:val="000000"/>
          <w:lang w:val="es-AR" w:eastAsia="es-AR" w:bidi="es-AR"/>
        </w:rPr>
        <w:t xml:space="preserve">-55161-</w:t>
      </w:r>
      <w:r>
        <w:rPr>
          <w:lang w:val="es-AR" w:eastAsia="es-AR" w:bidi="es-AR"/>
        </w:rPr>
        <w:t xml:space="preserve"> del </w:t>
      </w:r>
      <w:r>
        <w:rPr>
          <w:color w:val="000000"/>
          <w:lang w:val="es-AR" w:eastAsia="es-AR" w:bidi="es-AR"/>
        </w:rPr>
        <w:t xml:space="preserve">Juzgado en lo Civil y Comercial N° 3 </w:t>
      </w:r>
      <w:r>
        <w:rPr>
          <w:lang w:val="es-AR" w:eastAsia="es-AR" w:bidi="es-AR"/>
        </w:rPr>
        <w:t xml:space="preserve">Departamental, encontrándose el Dr. Bernardo Louise,  excusado el día </w:t>
      </w:r>
      <w:r>
        <w:rPr>
          <w:color w:val="000000"/>
          <w:lang w:val="es-AR" w:eastAsia="es-AR" w:bidi="es-AR"/>
        </w:rPr>
        <w:t xml:space="preserve">02/03/2021</w:t>
      </w:r>
      <w:r>
        <w:rPr>
          <w:lang w:val="es-AR" w:eastAsia="es-AR" w:bidi="es-AR"/>
        </w:rPr>
        <w:t xml:space="preserve">, se ordenó la integración de este Tribunal y se practicó el sorteo de ley que determinó que la votación debía efectuarse en el siguiente orden: Graciela Scaraffia y Roberto Degleue estudiados los autos se resolvió plantear y votar las siguientes: </w:t>
      </w:r>
    </w:p>
    <w:p>
      <w:pPr>
        <w:pStyle w:val="[Normal]"/>
        <w:spacing w:line="360" w:lineRule="auto"/>
        <w:ind w:firstLine="1134"/>
        <w:jc w:val="both"/>
        <w:rPr>
          <w:color w:val="000000"/>
          <w:lang w:val="es-AR" w:eastAsia="es-AR" w:bidi="es-AR"/>
        </w:rPr>
      </w:pPr>
      <w:r>
        <w:rPr>
          <w:color w:val="000000"/>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lang w:val="es-AR" w:eastAsia="es-AR" w:bidi="es-AR"/>
        </w:rPr>
      </w:pPr>
      <w:r>
        <w:rPr>
          <w:color w:val="000000"/>
          <w:lang w:val="es-AR" w:eastAsia="es-AR" w:bidi="es-AR"/>
        </w:rPr>
        <w:t xml:space="preserve">El Sr. Juez de la anterior instancia </w:t>
      </w:r>
      <w:r>
        <w:rPr>
          <w:rFonts w:ascii="Times New Roman" w:hAnsi="Times New Roman" w:eastAsia="Times New Roman" w:cs="Times New Roman"/>
          <w:lang w:val="es-AR" w:eastAsia="es-AR" w:bidi="es-AR"/>
        </w:rPr>
        <w:t xml:space="preserve"> </w:t>
      </w:r>
      <w:r>
        <w:rPr>
          <w:lang w:val="es-AR" w:eastAsia="es-AR" w:bidi="es-AR"/>
        </w:rPr>
        <w:t xml:space="preserve">rechazó la impugnación efectuada en fecha 26/02/2020 y, por consiguiente, fijó una cuota suplementaria, la que se efectivizará mediante 153 pagos mensuales, iguales y consecutivos de $ 3.000 y uno  último, ( Nº 154), de $ 1450.-</w:t>
      </w:r>
      <w:r>
        <w:rPr>
          <w:b/>
          <w:color w:val="000000"/>
          <w:lang w:val="es-AR" w:eastAsia="es-AR" w:bidi="es-AR"/>
        </w:rPr>
        <w:t xml:space="preserve"> </w:t>
      </w:r>
    </w:p>
    <w:p>
      <w:pPr>
        <w:pStyle w:val="[Normal]"/>
        <w:spacing w:line="360" w:lineRule="auto"/>
        <w:ind w:firstLine="1134"/>
        <w:jc w:val="both"/>
        <w:rPr>
          <w:b/>
          <w:lang w:val="es-AR" w:eastAsia="es-AR" w:bidi="es-AR"/>
        </w:rPr>
      </w:pPr>
      <w:r>
        <w:rPr>
          <w:color w:val="000000"/>
          <w:lang w:val="es-AR" w:eastAsia="es-AR" w:bidi="es-AR"/>
        </w:rPr>
        <w:t xml:space="preserve">Tal decisorio fue objeto del recurso de apelación por parte de la actora mediante el escrito electrónico de fecha 11/06/2020, concedido </w:t>
      </w:r>
      <w:r>
        <w:rPr>
          <w:lang w:val="es-AR" w:eastAsia="es-AR" w:bidi="es-AR"/>
        </w:rPr>
        <w:t xml:space="preserve">en relación y al solo efecto devolutivo el 17/06/2020.  El 22/06/2020 es fundado el recurso por la actora.  Con fecha 08/07/20 es contestado el traslado por la demandada.  En fecha 02/03/2021 llamamiento de autos, providencia que firme a la fecha deja la causa en condiciones de ser fallada.</w:t>
      </w:r>
    </w:p>
    <w:p>
      <w:pPr>
        <w:pStyle w:val="[Normal]"/>
        <w:spacing w:line="360" w:lineRule="auto"/>
        <w:ind w:firstLine="1134"/>
        <w:jc w:val="both"/>
        <w:rPr>
          <w:lang w:val="es-AR" w:eastAsia="es-AR" w:bidi="es-AR"/>
        </w:rPr>
      </w:pPr>
      <w:r>
        <w:rPr>
          <w:color w:val="000000"/>
          <w:lang w:val="es-AR" w:eastAsia="es-AR" w:bidi="es-AR"/>
        </w:rPr>
        <w:t xml:space="preserve">En sustento de su crítica recursiva, plantea los siguiente agravios, 1) Que la </w:t>
      </w:r>
      <w:r>
        <w:rPr>
          <w:lang w:val="es-AR" w:eastAsia="es-AR" w:bidi="es-AR"/>
        </w:rPr>
        <w:t xml:space="preserve">resolución apelada no ha tenido en cuenta el respeto por los principios que rigen el Derecho de Familia y, más concretamente los derechos fundamentales de las personas menores de edad (interés superior del niño nunca fue prioridad, la tutela jurídica efectiva no existió;  la igualdad en cuanto a las responsabilidades parentales que nos toca a ambos progenitores tampoco) </w:t>
      </w:r>
      <w:r>
        <w:rPr>
          <w:color w:val="000000"/>
          <w:lang w:val="es-AR" w:eastAsia="es-AR" w:bidi="es-AR"/>
        </w:rPr>
        <w:t xml:space="preserve">2) la resolución apelada</w:t>
      </w:r>
      <w:r>
        <w:rPr>
          <w:lang w:val="es-AR" w:eastAsia="es-AR" w:bidi="es-AR"/>
        </w:rPr>
        <w:t xml:space="preserve"> solo beneficia al deudor alimentario y se priorizó su discurso en tanto humilde trabajador rural de la mínima categoría, con un sueldo paupérrimo y dos hijos menores que sostener, más dos mayores. 3) el Sr. Ferreyra, además del trabajo de peón rural que declara, tiene bienes inmuebles a su nombre tal y como fue probado en el expediente, sin embargo tal circunstancia no mereció ninguna valoración para el a quo, 4) Que, agravia a la actora que el a quo no proporcionara una consecuencia jurídica concreta al hecho que el Sr. Ferreyra es una persona sana, con todas las aptitudes necesarias a fin de  proporcionarse un trabajo o los necesarios para cumplir con sus obligaciones como progenitor y no remitirse siempre a lo poco que gana para excusarse  de abonar una cuota alimentaria digna acorde a la edad del menor y sus gastos.</w:t>
      </w:r>
    </w:p>
    <w:p>
      <w:pPr>
        <w:pStyle w:val="[Normal]"/>
        <w:spacing w:line="360" w:lineRule="auto"/>
        <w:ind w:firstLine="1134"/>
        <w:jc w:val="both"/>
        <w:rPr>
          <w:lang w:val="es-AR" w:eastAsia="es-AR" w:bidi="es-AR"/>
        </w:rPr>
      </w:pPr>
      <w:r>
        <w:rPr>
          <w:lang w:val="es-AR" w:eastAsia="es-AR" w:bidi="es-AR"/>
        </w:rPr>
        <w:t xml:space="preserve">Entrando a resolver, cabe destacar que el establecimiento de la cuota de referencia tiene por fin que el deudor pueda cumplir con facilidades el pago de los alimentos atrasados -desde la fecha de interposición de la demanda hasta la sentencia definitiva-, a partir de una cuidadosa ponderación del caudal económico de aquél, la situación propia de alimentado y el tiempo prudencial que la cancelación de la deuda importará sobre tales bases. Constituye una clara manifestación de la idea de humanización del proceso a la que se aspira como nota no inconciliable con la más rápida y eficaz resolución de los conflictos (cfr. Kielmanovich, "Código Procesal Civil y Comercial de la Nación...", 5ª ed. Buenos Aires Abeledo Perrot, 2010, pag. 1193).	</w:t>
        <w:br w:type="textWrapping"/>
      </w:r>
      <w:r>
        <w:rPr>
          <w:lang w:val="es-AR" w:eastAsia="es-AR" w:bidi="es-AR"/>
        </w:rPr>
        <w:t xml:space="preserve"> 	La razón de ser del articulo 642 del ritual es evitar que la cuota suplementaria, sumada a la pensión alimentaria principal, engrose excesivamente el total adeudado, ocasionando un perjuicio desmedido al alimentante (Gozaini, Osvaldo Alfredo, "Código Procesal Civil y Comercial de la Nación...", Segunda Ed. Actualizada y Ampliada Buenos Aires La Ley, 2006, pag. 386).	</w:t>
        <w:br w:type="textWrapping"/>
      </w:r>
      <w:r>
        <w:rPr>
          <w:lang w:val="es-AR" w:eastAsia="es-AR" w:bidi="es-AR"/>
        </w:rPr>
        <w:t xml:space="preserve"> 	Ha de adunarse que la cuota suplementaria  deberá guardar relación y equilibrio con el monto de esta última (cfr. Morello-Sosa- Berizonce-Tessone, "Código Procesal Civil y Comercial de la Provincia y la Nación...", Cuarta Ed. Actualizada y Ampliada, Buenos Aires Abeledo Perrot, 2015, T VII, pag. 914).	</w:t>
        <w:br w:type="textWrapping"/>
      </w:r>
      <w:r>
        <w:rPr>
          <w:lang w:val="es-AR" w:eastAsia="es-AR" w:bidi="es-AR"/>
        </w:rPr>
        <w:t xml:space="preserve"> 	Aún así, ponderando el caudal económico del alimentante, la situación del alimentado -ya analizados en la sentencia de fecha 5 de Junio de 2020, el monto de la cuota principal -$5.000-, el importe adeudado en concepto de alimentos atrasados -$460.450-, la pérdida progresiva del valor adquisitivo de la moneda durante el tiempo proyectado hasta el cumplimiento (año 2034), el nivel de ingreso del demandado conforme a su categoría laboral y demás circunstancia indicativas de su capacidad económica surgentes de la prueba producida en autos, el interés superior del niño, el principio de tutela judicial efectiva y el principio humanización en el cumplimiento de las obligaciones, considero como más prudente y equitativo modificar la manera en que ha de ser abonada la cuota suplementaria dispuesta en el fallo recurrido estableciéndose -conforme fuera pedido y justificado por la apelante- que será pagadera en setenta y seis (76) cuotas mensuales y consecutivas equivalentes cada una de ellas de $ 6.000 y una última cuota de $ 4.450 hasta cancelar el monto total de alimentos atrasados (art. 642 CCyC).-	</w:t>
      </w:r>
    </w:p>
    <w:p>
      <w:pPr>
        <w:pStyle w:val="[Normal]"/>
        <w:spacing w:line="360" w:lineRule="auto"/>
        <w:ind w:firstLine="1134"/>
        <w:jc w:val="both"/>
        <w:rPr>
          <w:color w:val="000000"/>
          <w:lang w:val="es-AR" w:eastAsia="es-AR" w:bidi="es-AR"/>
        </w:rPr>
      </w:pPr>
      <w:r>
        <w:rPr>
          <w:color w:val="000000"/>
          <w:lang w:val="es-AR" w:eastAsia="es-AR" w:bidi="es-AR"/>
        </w:rPr>
        <w:t xml:space="preserve">En sustento de la solución que propicio, se ha dicho que la cuota suplementaria </w:t>
      </w:r>
      <w:r>
        <w:rPr>
          <w:i/>
          <w:color w:val="000000"/>
          <w:lang w:val="es-AR" w:eastAsia="es-AR" w:bidi="es-AR"/>
        </w:rPr>
        <w:t xml:space="preserve">"debe adecuarse al caudal de ingresos del alimentante, al monto de la deuda acumulada y al de la cuota ordinaria, para evitar conducirlo a un estado de insatisfacción de sus propias necesidades, pero además no debe ser tan baja que desnaturalice el propósito de resarcir al alimentista, en el menor tiempo posible..."</w:t>
      </w:r>
      <w:r>
        <w:rPr>
          <w:color w:val="000000"/>
          <w:lang w:val="es-AR" w:eastAsia="es-AR" w:bidi="es-AR"/>
        </w:rPr>
        <w:t xml:space="preserve"> (CNCiv., Sala B, 24/4/97).</w:t>
      </w:r>
    </w:p>
    <w:p>
      <w:pPr>
        <w:pStyle w:val="[Normal]"/>
        <w:spacing w:line="360" w:lineRule="auto"/>
        <w:ind w:firstLine="1134"/>
        <w:jc w:val="both"/>
        <w:rPr>
          <w:color w:val="000000"/>
          <w:lang w:val="es-AR" w:eastAsia="es-AR" w:bidi="es-AR"/>
        </w:rPr>
      </w:pPr>
      <w:r>
        <w:rPr>
          <w:color w:val="000000"/>
          <w:lang w:val="es-AR" w:eastAsia="es-AR" w:bidi="es-AR"/>
        </w:rPr>
        <w:t xml:space="preserve">Es evidente que una modalización de la condena que se extienda en el tiempo por más de 12 años lesiona el derecho del alimentado a ser resarcido por la falta de cumplimiento oportuno de este deber, máxime teniendo en cuenta que, aunque los ingresos del obligado puedan no ser elevados como así también tener otras cargas familiares, estamos ante una persona con plena aptitud laboral.-</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color w:val="000000"/>
          <w:lang w:val="es-AR" w:eastAsia="es-AR" w:bidi="es-AR"/>
        </w:rPr>
        <w:t xml:space="preserve">VOTO POR LA NEGATIVA.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w:t>
      </w:r>
      <w:r>
        <w:rPr>
          <w:lang w:val="es-AR" w:eastAsia="es-AR" w:bidi="es-AR"/>
        </w:rPr>
        <w:t xml:space="preserve"> Roberto Degleue</w:t>
      </w:r>
      <w:r>
        <w:rPr>
          <w:color w:val="000000"/>
          <w:lang w:val="es-AR" w:eastAsia="es-AR" w:bidi="es-AR"/>
        </w:rPr>
        <w:t xml:space="preserv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color w:val="000000"/>
          <w:lang w:val="es-AR" w:eastAsia="es-AR" w:bidi="es-AR"/>
        </w:rPr>
        <w:t xml:space="preserve">1) </w:t>
      </w:r>
      <w:r>
        <w:rPr>
          <w:lang w:val="es-AR" w:eastAsia="es-AR" w:bidi="es-AR"/>
        </w:rPr>
        <w:t xml:space="preserve">Hacer lugar al recurso de apelación deducido y en consecuencia modificar la resolución apelada. En su mérito, establecer que la cuota alimentaria suplementaria sea pagadera en setenta y seis (76) cuotas mensuales y consecutivas equivalentes cada una de ellas de $ 6.000 y una última cuota de $ 4.450 hasta cancelar el monto total de alimentos atrasados (art. 642 CCyC).-</w:t>
      </w:r>
    </w:p>
    <w:p>
      <w:pPr>
        <w:pStyle w:val="[Normal]"/>
        <w:spacing w:line="360" w:lineRule="auto"/>
        <w:ind w:firstLine="1134"/>
        <w:jc w:val="both"/>
        <w:rPr>
          <w:lang w:val="es-AR" w:eastAsia="es-AR" w:bidi="es-AR"/>
        </w:rPr>
      </w:pPr>
      <w:r>
        <w:rPr>
          <w:lang w:val="es-AR" w:eastAsia="es-AR" w:bidi="es-AR"/>
        </w:rPr>
        <w:t xml:space="preserve">2) Sin costas de Alzada por no mediar controversia de partes en esta instancia (art. 68 a contrario sensu y ccs. del CPCC).</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 </w:t>
      </w:r>
    </w:p>
    <w:p>
      <w:pPr>
        <w:pStyle w:val="[Normal]"/>
        <w:spacing w:line="360" w:lineRule="auto"/>
        <w:ind w:firstLine="1134"/>
        <w:jc w:val="both"/>
        <w:rPr>
          <w:color w:val="000000"/>
          <w:lang w:val="es-AR" w:eastAsia="es-AR" w:bidi="es-AR"/>
        </w:rPr>
      </w:pPr>
      <w:r>
        <w:rPr>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w:t>
      </w:r>
      <w:r>
        <w:rPr>
          <w:lang w:val="es-AR" w:eastAsia="es-AR" w:bidi="es-AR"/>
        </w:rPr>
        <w:t xml:space="preserve"> Roberto Degleue</w:t>
      </w:r>
      <w:r>
        <w:rPr>
          <w:color w:val="000000"/>
          <w:lang w:val="es-AR" w:eastAsia="es-AR" w:bidi="es-AR"/>
        </w:rPr>
        <w:t xml:space="preserve">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color w:val="000000"/>
          <w:lang w:val="es-AR" w:eastAsia="es-AR" w:bidi="es-AR"/>
        </w:rPr>
        <w:t xml:space="preserve">S E N T E N C I A:</w:t>
      </w:r>
    </w:p>
    <w:p>
      <w:pPr>
        <w:pStyle w:val="[Normal]"/>
        <w:spacing w:line="360" w:lineRule="auto"/>
        <w:ind w:firstLine="1134"/>
        <w:jc w:val="both"/>
        <w:rPr>
          <w:lang w:val="es-AR" w:eastAsia="es-AR" w:bidi="es-AR"/>
        </w:rPr>
      </w:pPr>
      <w:r>
        <w:rPr>
          <w:color w:val="000000"/>
          <w:lang w:val="es-AR" w:eastAsia="es-AR" w:bidi="es-AR"/>
        </w:rPr>
        <w:t xml:space="preserve">1) </w:t>
      </w:r>
      <w:r>
        <w:rPr>
          <w:lang w:val="es-AR" w:eastAsia="es-AR" w:bidi="es-AR"/>
        </w:rPr>
        <w:t xml:space="preserve">Hacer lugar al recurso de apelación deducido y en consecuencia modificar la resolución apelada. En su mérito, establecer que la cuota alimentaria suplementaria sea pagadera en setenta y seis (76) cuotas mensuales y consecutivas equivalentes cada una de ellas de $ 6.000 y una última cuota de $ 4.450 hasta cancelar el monto total de alimentos atrasados (art. 642 CCyC).-</w:t>
      </w:r>
    </w:p>
    <w:p>
      <w:pPr>
        <w:pStyle w:val="[Normal]"/>
        <w:spacing w:line="360" w:lineRule="auto"/>
        <w:ind w:firstLine="1134"/>
        <w:jc w:val="both"/>
        <w:rPr>
          <w:color w:val="000000"/>
          <w:lang w:val="es-AR" w:eastAsia="es-AR" w:bidi="es-AR"/>
        </w:rPr>
      </w:pPr>
      <w:r>
        <w:rPr>
          <w:lang w:val="es-AR" w:eastAsia="es-AR" w:bidi="es-AR"/>
        </w:rPr>
        <w:t xml:space="preserve">2) Sin costas de Alzada por no mediar controversia de partes en esta instancia (art. 68 a contrario sensu y ccs. del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spacing w:line="360" w:lineRule="auto"/>
        <w:rPr>
          <w:color w:val="000000"/>
          <w:lang w:val="es-AR" w:eastAsia="es-AR" w:bidi="es-AR"/>
        </w:rPr>
      </w:pPr>
      <w:r>
        <w:rPr>
          <w:color w:val="000000"/>
          <w:lang w:val="es-AR" w:eastAsia="es-AR" w:bidi="es-AR"/>
        </w:rPr>
        <w:t xml:space="preserve">AADBA@MPBA.GOV.AR</w:t>
      </w:r>
    </w:p>
    <w:p>
      <w:pPr>
        <w:pStyle w:val="[Normal]"/>
        <w:spacing w:line="360" w:lineRule="auto"/>
        <w:rPr>
          <w:color w:val="000000"/>
          <w:lang w:val="es-AR" w:eastAsia="es-AR" w:bidi="es-AR"/>
        </w:rPr>
      </w:pPr>
      <w:r>
        <w:rPr>
          <w:color w:val="000000"/>
          <w:lang w:val="es-AR" w:eastAsia="es-AR" w:bidi="es-AR"/>
        </w:rPr>
        <w:t xml:space="preserve">27112928427@NOTIFICACIONES.SCBA.GOV.AR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rPr>
          <w:color w:val="000000"/>
          <w:lang w:val="es-AR" w:eastAsia="es-AR" w:bidi="es-AR"/>
        </w:rPr>
        <w:t xml:space="preserve">27061798337@NOTIFICACIONES.SCBA.GOV.AR</w:t>
      </w: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10:20:54 -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10:23:59 -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12:25:54 -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27061798337@NOTIFICACIONES.SCBA.GOV.AR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27112928427@NOTIFICACIONES.SCBA.GOV.AR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‰6s")è%-1.„Š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228302090005131714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2964 - 17 - ROBLES MARIA GIMENA  C/ FERREYRA MARTIN S/INCIDENTE (EXCEPTO LOS TIPIFICADOS EXPRESAMENTE)    </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‰6s")è%-1.„Š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