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61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323/329</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11 de Mayo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3989-20</w:t>
      </w:r>
      <w:r>
        <w:rPr>
          <w:lang w:val="es-AR" w:eastAsia="es-AR" w:bidi="es-AR"/>
        </w:rPr>
        <w:t xml:space="preserve"> caratulada </w:t>
      </w:r>
      <w:r>
        <w:rPr>
          <w:b/>
          <w:lang w:val="es-AR" w:eastAsia="es-AR" w:bidi="es-AR"/>
        </w:rPr>
        <w:t xml:space="preserve">"</w:t>
      </w:r>
      <w:r>
        <w:rPr>
          <w:b/>
          <w:color w:val="000000"/>
          <w:lang w:val="es-AR" w:eastAsia="es-AR" w:bidi="es-AR"/>
        </w:rPr>
        <w:t xml:space="preserve">ALOE JOSE MARTIN  C/ ROST RODRIGUEZ FEBEA GRISEL S/DAÑOS Y PERJUICIOS POR ENRIQUECIMIENTO S/CAUSA (65)</w:t>
      </w:r>
      <w:r>
        <w:rPr>
          <w:b/>
          <w:lang w:val="es-AR" w:eastAsia="es-AR" w:bidi="es-AR"/>
        </w:rPr>
        <w:t xml:space="preserve">"</w:t>
      </w:r>
      <w:r>
        <w:rPr>
          <w:lang w:val="es-AR" w:eastAsia="es-AR" w:bidi="es-AR"/>
        </w:rPr>
        <w:t xml:space="preserve">, Expte. N°</w:t>
      </w:r>
      <w:r>
        <w:rPr>
          <w:color w:val="000000"/>
          <w:lang w:val="es-AR" w:eastAsia="es-AR" w:bidi="es-AR"/>
        </w:rPr>
        <w:t xml:space="preserve"> 1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GRACIELA SCARAFFIA, ROBERTO DEGLEUE</w:t>
      </w:r>
      <w:r>
        <w:rPr>
          <w:lang w:val="es-AR" w:eastAsia="es-AR" w:bidi="es-AR"/>
        </w:rPr>
        <w:t xml:space="preserve">, y estudiados los autos se resolvió  plantear y votar las siguientes:</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El Sr. juez de la instancia anterior dictó sentencia en las presentes actuaciones, e hizo lugar a la demanda incoada por la parte actora por enriquecimiento sin causa, condenando en consecuencia a la Sra. Febea Grisel Rost Rodriguez a que, dentro del plazo de TREINTA DIAS (30) contados a partir del momento que esté firme la sentencia, cumpla con las obligaciones que emergen de la misma: a) restitución del motovehículo dominio 565-HHA, marca Panther Quads, modelo 200R, motor N° LC163FMLIB405061, cuadro N°LAEXA4M01BA000254 y su trailer al actor y suscripción de toda la documentación necesaria para que dicho bien figure a nombre del Sr. José Martín Aloe ante el Registro correspondiente; b) otorgar la escritura traslativa de dominio a favor del actor, respecto del inmueble cuya  nomenclatura catastral es: Circ. XV, Secc. Z, Quinta 5, Mza. 5 "d", Parc. 1, partida inmobiliaria 48.771, inscripto bajo la matrícula 25.584 del Partido de Pergamino (082); y c) a restituir al accionante la suma de CUATROCIENTOS TRECE MIL NOVECIENTOS SIETE PESOS ($ 413.907), oportunamente depositadas en plazo fijo a nombre de la demandada en el Banco Macro y en el Banco Credicoop Cooperativo Limitado, bajo apercibimiento de hacerlo el juzgador a su nombre y costa -respecto de las obligaciones detalladas como "a" y "b"-, siempre que no exista en la etapa de ejecución, impedimento para su otorgamiento. Para la hipótesis de frustración de cualquiera de los actos enunciados -"a", "b" y "c"- condenó  a la demandada a resarcir los daños y perjuicios que se demuestren en la etapa de ejecución de sentencia (arts. 528, 1018, 1794, 1798, 959, 1021, 1061, 2651, del C.C.C.N.; art. 510 del C.P.C. y Ccs.).  Aplicó  las costas a la parte demandada que resulta vencida (art. 68 C.P.C.) y difirió la regulación de honorarios de los letrados, de los peritos y demás profesionales intervinientes, hasta que medie firme la respectiva liquidación de intereses y gastos (art. 7 del C.C.C.N., art. 1 dec. 522/17 y art. 51 ley 8904).</w:t>
      </w:r>
    </w:p>
    <w:p>
      <w:pPr>
        <w:pStyle w:val="[Normal]"/>
        <w:spacing w:line="360" w:lineRule="auto"/>
        <w:ind w:firstLine="1134"/>
        <w:jc w:val="both"/>
        <w:rPr>
          <w:lang w:val="es-AR" w:eastAsia="es-AR" w:bidi="es-AR"/>
        </w:rPr>
      </w:pPr>
      <w:r>
        <w:rPr>
          <w:lang w:val="es-AR" w:eastAsia="es-AR" w:bidi="es-AR"/>
        </w:rPr>
        <w:t xml:space="preserve">Con posterioridad a ello, por medio de sentencia aclaratoria  dictada en fecha 10/06/2020, el Sr. magistrado en uso de sus facultades (art. 166 CPC.)  aclaró en lo pertinente que la parte demandada: </w:t>
      </w:r>
      <w:r>
        <w:rPr>
          <w:i/>
          <w:lang w:val="es-AR" w:eastAsia="es-AR" w:bidi="es-AR"/>
        </w:rPr>
        <w:t xml:space="preserve">"...  deberá: b) entregar la posesión real, efectiva y otorgar la escritura traslativa de dominio a favor del actor, todo ello respecto del inmueble cuya  nomenclatura  catastral es: Circ. XV, Secc. Z, Quinta 5, Mza. 5 "d", Parc. 1, partida inmobiliaria 48.771, inscripto bajo la matrícula 25.584 del Partido de Pergamino (082). Luego fijo también que, en relación a las restantes aclaraciones pretendidas por la parte, que claramente se indicó que en relación a las obligaciones -"a" y "b"- que pesan en cabeza de la parte demandada, fueron ordenadas bajo apercibimiento de hacerlo el infrascripto a su nombre y costa.". </w:t>
      </w:r>
      <w:r>
        <w:rPr>
          <w:lang w:val="es-AR" w:eastAsia="es-AR" w:bidi="es-AR"/>
        </w:rPr>
        <w:t xml:space="preserve">Respecto del resto de las aclaraciones, resaltó que no habiendo error material que corregir, ni concepto oscuro que aclarar, ni omisión que suplir, la petición formulada era improcedente (art. 166  inc.  2 del C.P.C.C.).</w:t>
      </w:r>
    </w:p>
    <w:p>
      <w:pPr>
        <w:pStyle w:val="[Normal]"/>
        <w:spacing w:line="360" w:lineRule="auto"/>
        <w:ind w:firstLine="1134"/>
        <w:jc w:val="both"/>
        <w:rPr>
          <w:lang w:val="es-AR" w:eastAsia="es-AR" w:bidi="es-AR"/>
        </w:rPr>
      </w:pPr>
      <w:r>
        <w:rPr>
          <w:lang w:val="es-AR" w:eastAsia="es-AR" w:bidi="es-AR"/>
        </w:rPr>
        <w:t xml:space="preserve">Lo decidido fue apelado por ambas partes, así lo hace primeramente la actora en 16/6/2020 y luego la contraria por presentación electrónica de fecha 19/06/2020.</w:t>
      </w:r>
    </w:p>
    <w:p>
      <w:pPr>
        <w:pStyle w:val="[Normal]"/>
        <w:spacing w:line="360" w:lineRule="auto"/>
        <w:ind w:firstLine="1134"/>
        <w:jc w:val="both"/>
        <w:rPr>
          <w:lang w:val="es-AR" w:eastAsia="es-AR" w:bidi="es-AR"/>
        </w:rPr>
      </w:pPr>
      <w:r>
        <w:rPr>
          <w:lang w:val="es-AR" w:eastAsia="es-AR" w:bidi="es-AR"/>
        </w:rPr>
        <w:t xml:space="preserve">En fecha 06/08/2020, la parte actora agrega el memorial y lo mismo hace la parte contraria en fecha 25/08/2020, que merece la réplica de la accionante en fecha 4/9/2020.</w:t>
      </w:r>
    </w:p>
    <w:p>
      <w:pPr>
        <w:pStyle w:val="[Normal]"/>
        <w:spacing w:line="360" w:lineRule="auto"/>
        <w:ind w:firstLine="1134"/>
        <w:jc w:val="both"/>
        <w:rPr>
          <w:lang w:val="es-AR" w:eastAsia="es-AR" w:bidi="es-AR"/>
        </w:rPr>
      </w:pPr>
      <w:r>
        <w:rPr>
          <w:lang w:val="es-AR" w:eastAsia="es-AR" w:bidi="es-AR"/>
        </w:rPr>
        <w:t xml:space="preserve">Seguidamente, se da por incontestado a la demandada el traslado de los agravios de la parte accionante y en fecha 30/03/2021, se reanuda el llamamiento de autos para resolver, providencia que firme a la fecha deja a la causa en condiciones de ser resuelta.</w:t>
      </w:r>
    </w:p>
    <w:p>
      <w:pPr>
        <w:pStyle w:val="[Normal]"/>
        <w:spacing w:line="360" w:lineRule="auto"/>
        <w:ind w:firstLine="1134"/>
        <w:jc w:val="both"/>
        <w:rPr>
          <w:b/>
          <w:lang w:val="es-AR" w:eastAsia="es-AR" w:bidi="es-AR"/>
        </w:rPr>
      </w:pPr>
      <w:r>
        <w:rPr>
          <w:lang w:val="es-AR" w:eastAsia="es-AR" w:bidi="es-AR"/>
        </w:rPr>
        <w:t xml:space="preserve">Agravios de la parte Actora: </w:t>
      </w:r>
    </w:p>
    <w:p>
      <w:pPr>
        <w:pStyle w:val="[Normal]"/>
        <w:spacing w:line="360" w:lineRule="auto"/>
        <w:ind w:firstLine="1134"/>
        <w:jc w:val="both"/>
        <w:rPr>
          <w:lang w:val="es-AR" w:eastAsia="es-AR" w:bidi="es-AR"/>
        </w:rPr>
      </w:pPr>
      <w:r>
        <w:rPr>
          <w:lang w:val="es-AR" w:eastAsia="es-AR" w:bidi="es-AR"/>
        </w:rPr>
        <w:t xml:space="preserve">Se duele el apelante toda vez que entiende el fallo ha omitido la pretensión introducida por su parte al efectuar la ampliación de demanda a la restitución de los plazos fijos (28 / 04 / 2016), oportunidad en que también incluyó el pago de los intereses respectivos, ya que durante todo el proceso su parte se ha visto impedida de disponer de dicho dinero.</w:t>
      </w:r>
    </w:p>
    <w:p>
      <w:pPr>
        <w:pStyle w:val="[Normal]"/>
        <w:spacing w:line="360" w:lineRule="auto"/>
        <w:ind w:firstLine="1134"/>
        <w:jc w:val="both"/>
        <w:rPr>
          <w:lang w:val="es-AR" w:eastAsia="es-AR" w:bidi="es-AR"/>
        </w:rPr>
      </w:pPr>
      <w:r>
        <w:rPr>
          <w:lang w:val="es-AR" w:eastAsia="es-AR" w:bidi="es-AR"/>
        </w:rPr>
        <w:t xml:space="preserve">Se agravia también, en tanto la sentencia ha omitido expedirse en relación a la pretensión posterior en la cual persigue la indemnización por privación de uso del inmueble, el que no pudo utilizar durante la tramitación de las presentes y además la reparación del daño moral.</w:t>
      </w:r>
    </w:p>
    <w:p>
      <w:pPr>
        <w:pStyle w:val="[Normal]"/>
        <w:spacing w:line="360" w:lineRule="auto"/>
        <w:ind w:firstLine="1134"/>
        <w:jc w:val="both"/>
        <w:rPr>
          <w:lang w:val="es-AR" w:eastAsia="es-AR" w:bidi="es-AR"/>
        </w:rPr>
      </w:pPr>
      <w:r>
        <w:rPr>
          <w:lang w:val="es-AR" w:eastAsia="es-AR" w:bidi="es-AR"/>
        </w:rPr>
        <w:t xml:space="preserve">Por ello solicita que este Tribunal, oportunamente haga lugar a lo solicitado.</w:t>
      </w:r>
    </w:p>
    <w:p>
      <w:pPr>
        <w:pStyle w:val="[Normal]"/>
        <w:spacing w:line="360" w:lineRule="auto"/>
        <w:ind w:firstLine="1134"/>
        <w:jc w:val="both"/>
        <w:rPr>
          <w:lang w:val="es-AR" w:eastAsia="es-AR" w:bidi="es-AR"/>
        </w:rPr>
      </w:pPr>
      <w:r>
        <w:rPr>
          <w:lang w:val="es-AR" w:eastAsia="es-AR" w:bidi="es-AR"/>
        </w:rPr>
        <w:t xml:space="preserve">Agravios de la parte Demandada: </w:t>
      </w:r>
    </w:p>
    <w:p>
      <w:pPr>
        <w:pStyle w:val="[Normal]"/>
        <w:spacing w:line="360" w:lineRule="auto"/>
        <w:ind w:firstLine="1134"/>
        <w:jc w:val="both"/>
        <w:rPr>
          <w:lang w:val="es-AR" w:eastAsia="es-AR" w:bidi="es-AR"/>
        </w:rPr>
      </w:pPr>
      <w:r>
        <w:rPr>
          <w:lang w:val="es-AR" w:eastAsia="es-AR" w:bidi="es-AR"/>
        </w:rPr>
        <w:t xml:space="preserve">Se alza la parte demandada, al considerar que la sentencia es errada, toda vez que el planteo formulado por la parte accionante resulta imposible de acreditar, y para ello el Sr. juez realizó un análisis abstracto que concluye en una solución injusta.</w:t>
      </w:r>
    </w:p>
    <w:p>
      <w:pPr>
        <w:pStyle w:val="[Normal]"/>
        <w:spacing w:line="360" w:lineRule="auto"/>
        <w:ind w:firstLine="1134"/>
        <w:jc w:val="both"/>
        <w:rPr>
          <w:lang w:val="es-AR" w:eastAsia="es-AR" w:bidi="es-AR"/>
        </w:rPr>
      </w:pPr>
      <w:r>
        <w:rPr>
          <w:lang w:val="es-AR" w:eastAsia="es-AR" w:bidi="es-AR"/>
        </w:rPr>
        <w:t xml:space="preserve">Sobre esta base, transcribe partes de la sentencia relativas a lo que tuvo en cuenta el Sr. juez en punto  a la capacidad económica del actor de autos, como así lo expuesto que su parte no acreditó ingresos, pero expresa que nada dice el sentenciante en punto a la determinación de los montos que efectivamente ingresaron al patrimonio del actor y la prueba de ello.</w:t>
      </w:r>
    </w:p>
    <w:p>
      <w:pPr>
        <w:pStyle w:val="[Normal]"/>
        <w:spacing w:line="360" w:lineRule="auto"/>
        <w:ind w:firstLine="1134"/>
        <w:jc w:val="both"/>
        <w:rPr>
          <w:lang w:val="es-AR" w:eastAsia="es-AR" w:bidi="es-AR"/>
        </w:rPr>
      </w:pPr>
      <w:r>
        <w:rPr>
          <w:lang w:val="es-AR" w:eastAsia="es-AR" w:bidi="es-AR"/>
        </w:rPr>
        <w:t xml:space="preserve">Que, el juez a-quo, luego de acreditar ventas de inmuebles que ingresaron en dos procesos sucesorios, " </w:t>
      </w:r>
      <w:r>
        <w:rPr>
          <w:u w:val="single"/>
          <w:lang w:val="es-AR" w:eastAsia="es-AR" w:bidi="es-AR"/>
        </w:rPr>
        <w:t xml:space="preserve">supuso</w:t>
      </w:r>
      <w:r>
        <w:rPr>
          <w:lang w:val="es-AR" w:eastAsia="es-AR" w:bidi="es-AR"/>
        </w:rPr>
        <w:t xml:space="preserve"> " ( sic )  que ese dinero es suficiente para comprar un inmueble o crear plazos fijos.</w:t>
      </w:r>
    </w:p>
    <w:p>
      <w:pPr>
        <w:pStyle w:val="[Normal]"/>
        <w:spacing w:line="360" w:lineRule="auto"/>
        <w:ind w:firstLine="1134"/>
        <w:jc w:val="both"/>
        <w:rPr>
          <w:lang w:val="es-AR" w:eastAsia="es-AR" w:bidi="es-AR"/>
        </w:rPr>
      </w:pPr>
      <w:r>
        <w:rPr>
          <w:lang w:val="es-AR" w:eastAsia="es-AR" w:bidi="es-AR"/>
        </w:rPr>
        <w:t xml:space="preserve">Pero sin embargo, se dejó de lado las deudas que tenía el actor, que los ingresos en las sucesiones era en un porcentaje y además reitera que su parte acreditó actividades económicas desde el año 1990 y que siempre tuvo capacidad económica para formar su patrimonio.</w:t>
      </w:r>
    </w:p>
    <w:p>
      <w:pPr>
        <w:pStyle w:val="[Normal]"/>
        <w:spacing w:line="360" w:lineRule="auto"/>
        <w:ind w:firstLine="1134"/>
        <w:jc w:val="both"/>
        <w:rPr>
          <w:lang w:val="es-AR" w:eastAsia="es-AR" w:bidi="es-AR"/>
        </w:rPr>
      </w:pPr>
      <w:r>
        <w:rPr>
          <w:lang w:val="es-AR" w:eastAsia="es-AR" w:bidi="es-AR"/>
        </w:rPr>
        <w:t xml:space="preserve">Reitera lo injusto del fallo y pide que en su hora se revoque la sentencia apelada.</w:t>
      </w:r>
    </w:p>
    <w:p>
      <w:pPr>
        <w:pStyle w:val="[Normal]"/>
        <w:spacing w:line="360" w:lineRule="auto"/>
        <w:ind w:firstLine="1134"/>
        <w:jc w:val="both"/>
        <w:rPr>
          <w:lang w:val="es-AR" w:eastAsia="es-AR" w:bidi="es-AR"/>
        </w:rPr>
      </w:pPr>
      <w:r>
        <w:rPr>
          <w:lang w:val="es-AR" w:eastAsia="es-AR" w:bidi="es-AR"/>
        </w:rPr>
        <w:t xml:space="preserve">Los agravios son respondidos por la contraria quien propone la desestimación de los mismos.</w:t>
      </w:r>
    </w:p>
    <w:p>
      <w:pPr>
        <w:pStyle w:val="[Normal]"/>
        <w:spacing w:line="360" w:lineRule="auto"/>
        <w:ind w:firstLine="1134"/>
        <w:jc w:val="both"/>
        <w:rPr>
          <w:lang w:val="es-AR" w:eastAsia="es-AR" w:bidi="es-AR"/>
        </w:rPr>
      </w:pPr>
      <w:r>
        <w:rPr>
          <w:lang w:val="es-AR" w:eastAsia="es-AR" w:bidi="es-AR"/>
        </w:rPr>
        <w:t xml:space="preserve">En tarea de resolver, cabe tratar primeramente los agravios de la parte demandada, por cuanto su resultado incide en la suerte de los expuestos por la accionante de autos</w:t>
      </w:r>
      <w:r>
        <w:rPr>
          <w:b/>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Liminarmente, he de anticipar que lleva razón parcialmente la</w:t>
      </w:r>
      <w:r>
        <w:rPr>
          <w:b/>
          <w:lang w:val="es-AR" w:eastAsia="es-AR" w:bidi="es-AR"/>
        </w:rPr>
        <w:t xml:space="preserve"> </w:t>
      </w:r>
      <w:r>
        <w:rPr>
          <w:lang w:val="es-AR" w:eastAsia="es-AR" w:bidi="es-AR"/>
        </w:rPr>
        <w:t xml:space="preserve">apelante, no obstante el pormenorizado análisis de las piezas probatorias valoradas por el Sr. juez a-quo entiendo que las mismas en un segmento del fallo arrojan, a mi ver, un resultado distinto.</w:t>
      </w:r>
    </w:p>
    <w:p>
      <w:pPr>
        <w:pStyle w:val="[Normal]"/>
        <w:spacing w:line="360" w:lineRule="auto"/>
        <w:ind w:firstLine="1134"/>
        <w:jc w:val="both"/>
        <w:rPr>
          <w:lang w:val="es-AR" w:eastAsia="es-AR" w:bidi="es-AR"/>
        </w:rPr>
      </w:pPr>
      <w:r>
        <w:rPr>
          <w:lang w:val="es-AR" w:eastAsia="es-AR" w:bidi="es-AR"/>
        </w:rPr>
        <w:t xml:space="preserve">Que, ha quedado acreditado que las</w:t>
      </w:r>
      <w:r>
        <w:rPr>
          <w:b/>
          <w:lang w:val="es-AR" w:eastAsia="es-AR" w:bidi="es-AR"/>
        </w:rPr>
        <w:t xml:space="preserve"> </w:t>
      </w:r>
      <w:r>
        <w:rPr>
          <w:lang w:val="es-AR" w:eastAsia="es-AR" w:bidi="es-AR"/>
        </w:rPr>
        <w:t xml:space="preserve">partes del presente conflicto tuvieron una relación concubinaria de aproximadamente ocho años, que perduró hasta fines  agosto de 2015 (ver  fs. 172), por lo que al tiempo del cese ya se hallaba vigente el nuevo Código Civil y Comercial conforme Ley  26994.</w:t>
      </w:r>
    </w:p>
    <w:p>
      <w:pPr>
        <w:pStyle w:val="[Normal]"/>
        <w:spacing w:line="360" w:lineRule="auto"/>
        <w:ind w:firstLine="1134"/>
        <w:jc w:val="both"/>
        <w:rPr>
          <w:lang w:val="es-AR" w:eastAsia="es-AR" w:bidi="es-AR"/>
        </w:rPr>
      </w:pPr>
      <w:r>
        <w:rPr>
          <w:lang w:val="es-AR" w:eastAsia="es-AR" w:bidi="es-AR"/>
        </w:rPr>
        <w:t xml:space="preserve">Sin perjuicio de ello, no resulta redundante decir que este Tribunal, con otra integración y en base al Código Velezano había dicho que "... cierto es que para afirmar la existencia de un condominio o sociedad de hecho entre concubinos no basta probar la convivencia durante largos años, pues de ello sólo puede inferirse que ambos aportaban para subvenir a las necesidades comunes, pero no que lo que cada uno adquirió a su nombre se haya hecho con aporte de los dos, generando el aludido condominio o la pertenencia de un bien a la referida sociedad de hecho en lugar del adquirente...". " ... Ha sido receptado el enriquecimiento sin causa planteado en forma subsidiaria por el actor y que diera lugar al recibimiento de las mejoras realizadas por el concubino en el bien perteneciente a la conviviente admitiéndose  la acción de reintegro por los conceptos y los importes que en sentencia se detallan..." (Causa: 1355-12 caratulada: "Gómez Carlos Alberto c/ Di Santo Silvia A María s/ Materia de otro Fuero", voto Dra. Graciela Scaraffia).</w:t>
      </w:r>
    </w:p>
    <w:p>
      <w:pPr>
        <w:pStyle w:val="[Normal]"/>
        <w:spacing w:line="360" w:lineRule="auto"/>
        <w:ind w:firstLine="1134"/>
        <w:jc w:val="both"/>
        <w:rPr>
          <w:lang w:val="es-AR" w:eastAsia="es-AR" w:bidi="es-AR"/>
        </w:rPr>
      </w:pPr>
      <w:r>
        <w:rPr>
          <w:lang w:val="es-AR" w:eastAsia="es-AR" w:bidi="es-AR"/>
        </w:rPr>
        <w:t xml:space="preserve">El nuevo texto legal, el Código Civil y Comercial receptó la copiosa jurisprudencia que imperaba y reguló las "Uniones Convivenciales" y estableció para cuando opere el cese de la relación que "... A falta de pacto, los bienes adquiridos durante la convivencia se mantienen en el patrimonio al que ingresaron, sin perjuicio de la aplicación de los principios generales relativos al enriquecimiento sin causa, la interposición de personas y otros que puedan corresponder...".( art. 528 C.C.C.).</w:t>
      </w:r>
    </w:p>
    <w:p>
      <w:pPr>
        <w:pStyle w:val="[Normal]"/>
        <w:spacing w:line="360" w:lineRule="auto"/>
        <w:ind w:firstLine="1134"/>
        <w:jc w:val="both"/>
        <w:rPr>
          <w:lang w:val="es-AR" w:eastAsia="es-AR" w:bidi="es-AR"/>
        </w:rPr>
      </w:pPr>
      <w:r>
        <w:rPr>
          <w:lang w:val="es-AR" w:eastAsia="es-AR" w:bidi="es-AR"/>
        </w:rPr>
        <w:t xml:space="preserve">Siguiendo este razonamiento, en el mismo sentido en reciente pronunciamiento esta Alzada ha dicho que: "... El Código Velezano, no tenía - como acontece ahora - un artículo específico sino que la cuestión se halla en distintas disposiciones del Digesto ( nota al art. 43, arts. 784 y ss. art. 907 entre otros ) y la jurisprudencia y doctrina fueron dando forma al art. 1794 C.C.C., sin perjuicio de lo cual se hallaba incorporado en el Ordenamiento Jurídico y considerado por algunos como fuente autónoma de obligaciones (L.L. 1980 - b- 647, L.L. 1978 - b- 371, L.L. 1978 - A-, 291).</w:t>
      </w:r>
    </w:p>
    <w:p>
      <w:pPr>
        <w:pStyle w:val="[Normal]"/>
        <w:spacing w:line="360" w:lineRule="auto"/>
        <w:ind w:firstLine="1134"/>
        <w:jc w:val="both"/>
        <w:rPr>
          <w:lang w:val="es-AR" w:eastAsia="es-AR" w:bidi="es-AR"/>
        </w:rPr>
      </w:pPr>
      <w:r>
        <w:rPr>
          <w:lang w:val="es-AR" w:eastAsia="es-AR" w:bidi="es-AR"/>
        </w:rPr>
        <w:t xml:space="preserve">El principio jurídico que prohíbe enriquecerse a costa de otra persona si no existe una causa legítima que lo justifique, constituye una herramienta aplicable en prácticamente todos los ámbitos del derecho y la acción que se otorga a quien sufre un empobrecimiento incausado, tiene por finalidad restituir el equilibrio patrimonial alterado..." ( CAP. C: 4140 ).</w:t>
      </w:r>
    </w:p>
    <w:p>
      <w:pPr>
        <w:pStyle w:val="[Normal]"/>
        <w:spacing w:line="360" w:lineRule="auto"/>
        <w:ind w:firstLine="1134"/>
        <w:jc w:val="both"/>
        <w:rPr>
          <w:lang w:val="es-AR" w:eastAsia="es-AR" w:bidi="es-AR"/>
        </w:rPr>
      </w:pPr>
      <w:r>
        <w:rPr>
          <w:lang w:val="es-AR" w:eastAsia="es-AR" w:bidi="es-AR"/>
        </w:rPr>
        <w:t xml:space="preserve">Y es, desde este mirar, como se ha de analizar la sentencia recurrida.</w:t>
      </w:r>
    </w:p>
    <w:p>
      <w:pPr>
        <w:pStyle w:val="[Normal]"/>
        <w:spacing w:line="360" w:lineRule="auto"/>
        <w:ind w:firstLine="1134"/>
        <w:jc w:val="both"/>
        <w:rPr>
          <w:lang w:val="es-AR" w:eastAsia="es-AR" w:bidi="es-AR"/>
        </w:rPr>
      </w:pPr>
      <w:r>
        <w:rPr>
          <w:lang w:val="es-AR" w:eastAsia="es-AR" w:bidi="es-AR"/>
        </w:rPr>
        <w:t xml:space="preserve">Así, para  fallar ordenando la entrega por parte de la demandada al actor del motovehículo dominio 565-HHA, marca Panther Quads, modelo 200R, motor N° LC163FMLIB405061, cuadro N°LAEXA4M01BA000254 y su trailer, el juez tuvo en cuenta que "... </w:t>
      </w:r>
      <w:r>
        <w:rPr>
          <w:i/>
          <w:lang w:val="es-AR" w:eastAsia="es-AR" w:bidi="es-AR"/>
        </w:rPr>
        <w:t xml:space="preserve">la propia parte demandada ha reconocido la documentación original agregada por la parte actora, que luce glosada a fs. 66/73; de la cual surge que el motovehículo dominio 565-HHA si bien fue adquirido y/o abonado por el Sr. Aloe, figura inscripto a nombre de la Sra. Rost Rodriguez, configurándose de esta manera el enriquecimiento de la demandada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Este razonamiento y argumentación, basado en el reconocimiento de la documentación ( fs. 66 / 73 ), a lo que  cabe agregar además que el hecho en sí no fue negado ( art. 354 inc. 1 CPC.) surge  acertado lo señalado por el Juez, esto es que el bien automotor se halla inscripto a nombre de la demandada, empero la nota de pedido del vehículo a la Agencia  " Motos Masague y Otegui " que fue donde se adquirió fue formulada por el actor, a quien además la referida Agencia le extendió a su nombre el recibo de pago por el importe convenido.</w:t>
      </w:r>
    </w:p>
    <w:p>
      <w:pPr>
        <w:pStyle w:val="[Normal]"/>
        <w:spacing w:line="360" w:lineRule="auto"/>
        <w:ind w:firstLine="1134"/>
        <w:jc w:val="both"/>
        <w:rPr>
          <w:lang w:val="es-AR" w:eastAsia="es-AR" w:bidi="es-AR"/>
        </w:rPr>
      </w:pPr>
      <w:r>
        <w:rPr>
          <w:lang w:val="es-AR" w:eastAsia="es-AR" w:bidi="es-AR"/>
        </w:rPr>
        <w:t xml:space="preserve">En consecuencia, es ajustado a derecho ( arts. 375, 354 inc. 1 del CPC.) y a las constancias de la causa este segmento del fallo, en tanto reconoce que el dinero con el que se adquirió el vehículo es de propiedad del Sr. Aloe.</w:t>
      </w:r>
    </w:p>
    <w:p>
      <w:pPr>
        <w:pStyle w:val="[Normal]"/>
        <w:spacing w:line="360" w:lineRule="auto"/>
        <w:ind w:firstLine="1134"/>
        <w:jc w:val="both"/>
        <w:rPr>
          <w:lang w:val="es-AR" w:eastAsia="es-AR" w:bidi="es-AR"/>
        </w:rPr>
      </w:pPr>
      <w:r>
        <w:rPr>
          <w:lang w:val="es-AR" w:eastAsia="es-AR" w:bidi="es-AR"/>
        </w:rPr>
        <w:t xml:space="preserve">Y, lo referido por la demandada, en relación a que dicho vehículo había sido alcanzado por un acuerdo de partes de separación que derivó a su vez en la transferencia que ella le hiciera de la camioneta Toyota Hilux, por lo cual no sería procedente la restitución, ello ha quedado huérfano de material probatorio en contradicción a lo normado por el art. 375 del CPC.</w:t>
      </w:r>
    </w:p>
    <w:p>
      <w:pPr>
        <w:pStyle w:val="[Normal]"/>
        <w:spacing w:line="360" w:lineRule="auto"/>
        <w:ind w:firstLine="1134"/>
        <w:jc w:val="both"/>
        <w:rPr>
          <w:lang w:val="es-AR" w:eastAsia="es-AR" w:bidi="es-AR"/>
        </w:rPr>
      </w:pPr>
      <w:r>
        <w:rPr>
          <w:lang w:val="es-AR" w:eastAsia="es-AR" w:bidi="es-AR"/>
        </w:rPr>
        <w:t xml:space="preserve">No hay elemento alguno de tal acuerdo, solo sí que la demandada cedió al actor la referida camioneta empero ello no alcanza para tener por acreditado un acuerdo de separación de bienes que determine claramente las voluntades recíprocas de adjudicarse bienes.</w:t>
      </w:r>
    </w:p>
    <w:p>
      <w:pPr>
        <w:pStyle w:val="[Normal]"/>
        <w:spacing w:line="360" w:lineRule="auto"/>
        <w:ind w:firstLine="1134"/>
        <w:jc w:val="both"/>
        <w:rPr>
          <w:lang w:val="es-AR" w:eastAsia="es-AR" w:bidi="es-AR"/>
        </w:rPr>
      </w:pPr>
      <w:r>
        <w:rPr>
          <w:lang w:val="es-AR" w:eastAsia="es-AR" w:bidi="es-AR"/>
        </w:rPr>
        <w:t xml:space="preserve">También ha de seguirse lo argumentado en la sentencia de grado,  en relación   a que el dinero  con que se adquirió el inmueble que se reclama, era de propiedad del actor para lo cual  los agravios en tal sentido resultan generales y abstractos no logrando conmover la sentencia.</w:t>
      </w:r>
    </w:p>
    <w:p>
      <w:pPr>
        <w:pStyle w:val="[Normal]"/>
        <w:spacing w:line="360" w:lineRule="auto"/>
        <w:ind w:firstLine="1134"/>
        <w:jc w:val="both"/>
        <w:rPr>
          <w:lang w:val="es-AR" w:eastAsia="es-AR" w:bidi="es-AR"/>
        </w:rPr>
      </w:pPr>
      <w:r>
        <w:rPr>
          <w:lang w:val="es-AR" w:eastAsia="es-AR" w:bidi="es-AR"/>
        </w:rPr>
        <w:t xml:space="preserve">En efecto, en el escrito de demanda luego de referenciarse la relación concubinaria que vinculó a las partes y el cese de la misma, se dio cuenta de los distintos inmuebles que el reclamante recibió, junto a sus hermanos, derivados de los procesos sucesorios de sus progenitores (Expte: " Aloe Armando Valentin s/ Sucesión Ab Intestato " causa N° 44.142 del Juzgado de Paz de Rojas y de los autos " Machado Alejandra María s/ Sucesión Ab Intestato ", Expte. N° 46.654 del mismo Juzgado - padre y madre - del actor de autos).  </w:t>
      </w:r>
    </w:p>
    <w:p>
      <w:pPr>
        <w:pStyle w:val="[Normal]"/>
        <w:spacing w:line="360" w:lineRule="auto"/>
        <w:ind w:firstLine="1134"/>
        <w:jc w:val="both"/>
        <w:rPr>
          <w:lang w:val="es-AR" w:eastAsia="es-AR" w:bidi="es-AR"/>
        </w:rPr>
      </w:pPr>
      <w:r>
        <w:rPr>
          <w:lang w:val="es-AR" w:eastAsia="es-AR" w:bidi="es-AR"/>
        </w:rPr>
        <w:t xml:space="preserve">Detalló también quienes fueron los compradores, el precio de venta de los mismos, como además lo percibido por una indemnización por accidente de trabajo y luego la diferencia cobrada en el Tribunal de Trabajo N° 1 Departamental.</w:t>
      </w:r>
    </w:p>
    <w:p>
      <w:pPr>
        <w:pStyle w:val="[Normal]"/>
        <w:spacing w:line="360" w:lineRule="auto"/>
        <w:ind w:firstLine="1134"/>
        <w:jc w:val="both"/>
        <w:rPr>
          <w:lang w:val="es-AR" w:eastAsia="es-AR" w:bidi="es-AR"/>
        </w:rPr>
      </w:pPr>
      <w:r>
        <w:rPr>
          <w:lang w:val="es-AR" w:eastAsia="es-AR" w:bidi="es-AR"/>
        </w:rPr>
        <w:t xml:space="preserve">Así lo expuesto en demanda, fue tenido por acreditado por el sentenciante de grado, quien remitiéndose a las constancias de la causa concluyó que durante la unión convivencial el actor percibió sumas de dinero provenientes de las ventas de los bienes heredados y ello "... da cuenta del patrimonio con el que contaba el Sr. Aloe... " ( sic ).</w:t>
      </w:r>
    </w:p>
    <w:p>
      <w:pPr>
        <w:pStyle w:val="[Normal]"/>
        <w:spacing w:line="360" w:lineRule="auto"/>
        <w:ind w:firstLine="1134"/>
        <w:jc w:val="both"/>
        <w:rPr>
          <w:lang w:val="es-AR" w:eastAsia="es-AR" w:bidi="es-AR"/>
        </w:rPr>
      </w:pPr>
      <w:r>
        <w:rPr>
          <w:lang w:val="es-AR" w:eastAsia="es-AR" w:bidi="es-AR"/>
        </w:rPr>
        <w:t xml:space="preserve">Esta conclusión, como se anticipara, no es desvirtuada por los fundamentos en que se asientan los agravios y se ajusta a la prueba rendida a la causa.</w:t>
      </w:r>
    </w:p>
    <w:p>
      <w:pPr>
        <w:pStyle w:val="[Normal]"/>
        <w:spacing w:line="360" w:lineRule="auto"/>
        <w:ind w:firstLine="1134"/>
        <w:jc w:val="both"/>
        <w:rPr>
          <w:lang w:val="es-AR" w:eastAsia="es-AR" w:bidi="es-AR"/>
        </w:rPr>
      </w:pPr>
      <w:r>
        <w:rPr>
          <w:lang w:val="es-AR" w:eastAsia="es-AR" w:bidi="es-AR"/>
        </w:rPr>
        <w:t xml:space="preserve">Cabe decir además, que en el escrito de contestación de demanda, la defensa se apontocó en los distintos trabajos y comercios que tuvo a su nombre la demandada, como su trabajo como profesional de la psicología, y con ello la prueba del origen de los fondos, para la compra del inmueble.</w:t>
      </w:r>
    </w:p>
    <w:p>
      <w:pPr>
        <w:pStyle w:val="[Normal]"/>
        <w:spacing w:line="360" w:lineRule="auto"/>
        <w:ind w:firstLine="1134"/>
        <w:jc w:val="both"/>
        <w:rPr>
          <w:lang w:val="es-AR" w:eastAsia="es-AR" w:bidi="es-AR"/>
        </w:rPr>
      </w:pPr>
      <w:r>
        <w:rPr>
          <w:lang w:val="es-AR" w:eastAsia="es-AR" w:bidi="es-AR"/>
        </w:rPr>
        <w:t xml:space="preserve">Afirma que la quinta la adquirió con dinero que fue ahorrando fruto de sus trabajos de toda la vida, a lo que aduna que durante la relación con el Sr. Aloe se concretó la venta de un inmueble que ella había adquirido por boleto a su abuela y son los frutos de esa venta lo que justifican sus ahorros.</w:t>
      </w:r>
    </w:p>
    <w:p>
      <w:pPr>
        <w:pStyle w:val="[Normal]"/>
        <w:spacing w:line="360" w:lineRule="auto"/>
        <w:ind w:firstLine="1134"/>
        <w:jc w:val="both"/>
        <w:rPr>
          <w:lang w:val="es-AR" w:eastAsia="es-AR" w:bidi="es-AR"/>
        </w:rPr>
      </w:pPr>
      <w:r>
        <w:rPr>
          <w:lang w:val="es-AR" w:eastAsia="es-AR" w:bidi="es-AR"/>
        </w:rPr>
        <w:t xml:space="preserve">La defensa, también se basó en negar la herencia económicamente cuantificable del actor, por cuanto al fallecer su progenitor, éste estaba endeudado por lo que fue necesario vender el campo para afrontar las deudas.</w:t>
      </w:r>
    </w:p>
    <w:p>
      <w:pPr>
        <w:pStyle w:val="[Normal]"/>
        <w:spacing w:line="360" w:lineRule="auto"/>
        <w:ind w:firstLine="1134"/>
        <w:jc w:val="both"/>
        <w:rPr>
          <w:lang w:val="es-AR" w:eastAsia="es-AR" w:bidi="es-AR"/>
        </w:rPr>
      </w:pPr>
      <w:r>
        <w:rPr>
          <w:lang w:val="es-AR" w:eastAsia="es-AR" w:bidi="es-AR"/>
        </w:rPr>
        <w:t xml:space="preserve">Estos hechos enarbolados como base de su defensa, por claro imperio procesal le impusieron la carga de su acreditación ( art. 375 CPC.) y en la sentencia de grado, el Sr. juez dejó bien a las claras la falencia probatoria para poder acreditar que con sus ingresos podía adquirir una propiedad. Cabe tener en cuenta además, que la prueba de los ingresos de una persona, es de fácil demostración por cuanto declaraciones juradas en los Organísmos de Recaudación ( Nacional o Provincial ), se encuentran en su poder y no se allegaron.</w:t>
      </w:r>
    </w:p>
    <w:p>
      <w:pPr>
        <w:pStyle w:val="[Normal]"/>
        <w:spacing w:line="360" w:lineRule="auto"/>
        <w:ind w:firstLine="1134"/>
        <w:jc w:val="both"/>
        <w:rPr>
          <w:lang w:val="es-AR" w:eastAsia="es-AR" w:bidi="es-AR"/>
        </w:rPr>
      </w:pPr>
      <w:r>
        <w:rPr>
          <w:lang w:val="es-AR" w:eastAsia="es-AR" w:bidi="es-AR"/>
        </w:rPr>
        <w:t xml:space="preserve">Además, intimada por el Juzgado para que allegue la documentación solicitada por el Sr. perito contador para la realización de la respectiva prueba, incumplió y solicitado a fs. 533 se haga efectivo el apercibimiento de presunción en contra, a fs. 534 se lo tuvo presente.</w:t>
      </w:r>
    </w:p>
    <w:p>
      <w:pPr>
        <w:pStyle w:val="[Normal]"/>
        <w:spacing w:line="360" w:lineRule="auto"/>
        <w:ind w:firstLine="1134"/>
        <w:jc w:val="both"/>
        <w:rPr>
          <w:lang w:val="es-AR" w:eastAsia="es-AR" w:bidi="es-AR"/>
        </w:rPr>
      </w:pPr>
      <w:r>
        <w:rPr>
          <w:lang w:val="es-AR" w:eastAsia="es-AR" w:bidi="es-AR"/>
        </w:rPr>
        <w:t xml:space="preserve">Así las cosas, mientras que el actor dio cuenta de los bienes recibidos de los procesos sucesorios, la venta de los mismos, los compradores y montos de las operatorias, la demanda nos privó de la prueba pertinente de sus ingresos. Y, asimismo de la relativa a su afirmación del estado de endeudamiento del Sr. Aloe, hechos estos cuya acreditación pesaba sobre su actuación ( art. 375 del CPC.).</w:t>
      </w:r>
    </w:p>
    <w:p>
      <w:pPr>
        <w:pStyle w:val="[Normal]"/>
        <w:spacing w:line="360" w:lineRule="auto"/>
        <w:ind w:firstLine="1134"/>
        <w:jc w:val="both"/>
        <w:rPr>
          <w:lang w:val="es-AR" w:eastAsia="es-AR" w:bidi="es-AR"/>
        </w:rPr>
      </w:pPr>
      <w:r>
        <w:rPr>
          <w:lang w:val="es-AR" w:eastAsia="es-AR" w:bidi="es-AR"/>
        </w:rPr>
        <w:t xml:space="preserve">Igual temperamento ha de seguirse en relación al hecho invocado, -venta del inmueble adquirido a su abuela-, dado que no hay elemento alguno que lo acredite, como tampoco que la demandada con anterioridad a la relación concubinaria tuviese algún bien inmueble registrado a su nombre. Y ello, es importante porque durante la relación con el actor, que si ingresó bienes en su patrimonio, la demandada coetáneamente inscribió bienes  a su nombre ( inmueble y vehículo ).</w:t>
      </w:r>
    </w:p>
    <w:p>
      <w:pPr>
        <w:pStyle w:val="[Normal]"/>
        <w:spacing w:line="360" w:lineRule="auto"/>
        <w:ind w:firstLine="1134"/>
        <w:jc w:val="both"/>
        <w:rPr>
          <w:lang w:val="es-AR" w:eastAsia="es-AR" w:bidi="es-AR"/>
        </w:rPr>
      </w:pPr>
      <w:r>
        <w:rPr>
          <w:lang w:val="es-AR" w:eastAsia="es-AR" w:bidi="es-AR"/>
        </w:rPr>
        <w:t xml:space="preserve">Entonces así, con el dinero del actor, se adquirió  la propiedad inmueble, una unidad vehicular, ambos  en cabeza de la demandada como propietaria lo que importa  un incremento de su patrimonio, que no condice con sus ingresos. Por el otro lado, el empobrecimiento del actor resulta evidente, desde que los bienes ingresados a su patrimonio se derivaron al de quien era su pareja, lo que sumado al hecho afirmado que como empleado mecánico percibe la suma mensual de $ 4.000 ( fs. 176 vta. del responde de la demanda ), le ha de ser imposible adquirir alguna propiedad.</w:t>
      </w:r>
    </w:p>
    <w:p>
      <w:pPr>
        <w:pStyle w:val="[Normal]"/>
        <w:spacing w:line="360" w:lineRule="auto"/>
        <w:ind w:firstLine="1134"/>
        <w:jc w:val="both"/>
        <w:rPr>
          <w:lang w:val="es-AR" w:eastAsia="es-AR" w:bidi="es-AR"/>
        </w:rPr>
      </w:pPr>
      <w:r>
        <w:rPr>
          <w:lang w:val="es-AR" w:eastAsia="es-AR" w:bidi="es-AR"/>
        </w:rPr>
        <w:t xml:space="preserve">Así, el enriquecimiento de la demandada, es causalmente correlativo con el empobrecimiento del actor y no hay  justificación legítima que amerite tal circunstancia. Y también y  con ello aparecen configurados los presupuestos de hecho de la figura del enriquecimiento sin causa (cfr. en tal sentido Academia Nacional de Derecho y Ciencias Sociales de Córdoba (República Argentina) http://www.acader.unc.edu.ar) y queda así probado el desequilibrio económico que la presente pretende reparar a través de este medio procesal al no existir otro.</w:t>
      </w:r>
    </w:p>
    <w:p>
      <w:pPr>
        <w:pStyle w:val="[Normal]"/>
        <w:spacing w:line="360" w:lineRule="auto"/>
        <w:ind w:firstLine="1134"/>
        <w:jc w:val="both"/>
        <w:rPr>
          <w:lang w:val="es-AR" w:eastAsia="es-AR" w:bidi="es-AR"/>
        </w:rPr>
      </w:pPr>
      <w:r>
        <w:rPr>
          <w:lang w:val="es-AR" w:eastAsia="es-AR" w:bidi="es-AR"/>
        </w:rPr>
        <w:t xml:space="preserve">Finalmente, he de disentir con el Juzgador primero en relación a los plazos fijos reclamados por el actor tanto los existentes en el Banco Macro, como en el Banco Credicoop, depositados en fechas 14 y 20 de julio de 2015 y en fecha 3 de agosto de 2015.</w:t>
      </w:r>
    </w:p>
    <w:p>
      <w:pPr>
        <w:pStyle w:val="[Normal]"/>
        <w:spacing w:line="360" w:lineRule="auto"/>
        <w:ind w:firstLine="1134"/>
        <w:jc w:val="both"/>
        <w:rPr>
          <w:lang w:val="es-AR" w:eastAsia="es-AR" w:bidi="es-AR"/>
        </w:rPr>
      </w:pPr>
      <w:r>
        <w:rPr>
          <w:lang w:val="es-AR" w:eastAsia="es-AR" w:bidi="es-AR"/>
        </w:rPr>
        <w:t xml:space="preserve">Que, con la prueba informativa glosada a fs. 390 / 391, el Banco Credicoop, dio un detalle de los plazos fijos que registró la Sra. Febea Grisel Rost Rodriguez en la filial 338, efectivizados en el año 2015, pero también se acredita que la demandada poseía plazos fijos desde el año 2011 y  sucesivamente hasta el 2015. El informe, es reiterado por la Entidad mencionada y glosado a fs. 466.</w:t>
      </w:r>
    </w:p>
    <w:p>
      <w:pPr>
        <w:pStyle w:val="[Normal]"/>
        <w:spacing w:line="360" w:lineRule="auto"/>
        <w:ind w:firstLine="1134"/>
        <w:jc w:val="both"/>
        <w:rPr>
          <w:lang w:val="es-AR" w:eastAsia="es-AR" w:bidi="es-AR"/>
        </w:rPr>
      </w:pPr>
      <w:r>
        <w:rPr>
          <w:lang w:val="es-AR" w:eastAsia="es-AR" w:bidi="es-AR"/>
        </w:rPr>
        <w:t xml:space="preserve">Por otro lado el Banco Macro informó que la demandada realizó una declaración jurada, en punto a que respecto del depósito por la suma de $ 180.000 a plazo fijo el origen de los fondos eran sus ahorros.</w:t>
      </w:r>
    </w:p>
    <w:p>
      <w:pPr>
        <w:pStyle w:val="[Normal]"/>
        <w:spacing w:line="360" w:lineRule="auto"/>
        <w:ind w:firstLine="1134"/>
        <w:jc w:val="both"/>
        <w:rPr>
          <w:lang w:val="es-AR" w:eastAsia="es-AR" w:bidi="es-AR"/>
        </w:rPr>
      </w:pPr>
      <w:r>
        <w:rPr>
          <w:lang w:val="es-AR" w:eastAsia="es-AR" w:bidi="es-AR"/>
        </w:rPr>
        <w:t xml:space="preserve">Si bien no se ha podido acreditar fehacientemente los ingresos de la demandada de autos para la adquisición de los bienes registrables reclamados,  en relación a los plazos fijos  el actor pretende la devolución de los depósitos del año 2015, lo que da cuenta que reconoce en cabeza de la demandada los depósitos de los años anteriores. </w:t>
      </w:r>
    </w:p>
    <w:p>
      <w:pPr>
        <w:pStyle w:val="[Normal]"/>
        <w:spacing w:line="360" w:lineRule="auto"/>
        <w:ind w:firstLine="1134"/>
        <w:jc w:val="both"/>
        <w:rPr>
          <w:lang w:val="es-AR" w:eastAsia="es-AR" w:bidi="es-AR"/>
        </w:rPr>
      </w:pPr>
      <w:r>
        <w:rPr>
          <w:lang w:val="es-AR" w:eastAsia="es-AR" w:bidi="es-AR"/>
        </w:rPr>
        <w:t xml:space="preserve">Y, si con anterioridad podía realizar con sus ingresos plazos fijos, bien puede entenderse que también lo hiciera en el año 2015. </w:t>
      </w:r>
    </w:p>
    <w:p>
      <w:pPr>
        <w:pStyle w:val="[Normal]"/>
        <w:spacing w:line="360" w:lineRule="auto"/>
        <w:ind w:firstLine="1134"/>
        <w:jc w:val="both"/>
        <w:rPr>
          <w:lang w:val="es-AR" w:eastAsia="es-AR" w:bidi="es-AR"/>
        </w:rPr>
      </w:pPr>
      <w:r>
        <w:rPr>
          <w:lang w:val="es-AR" w:eastAsia="es-AR" w:bidi="es-AR"/>
        </w:rPr>
        <w:t xml:space="preserve">A ello, ha de adunarse que la demandada, cedió a favor del actor el vehículo Toyota Hilux 4 x 2 cabina doble, lo que se instrumentó efectivamente en el mes de septiembre de 2015 ( ver  informe de dominio glosado a fs.  580 / 581 ), hecho del cual el actor nunca nada dijo.</w:t>
      </w:r>
    </w:p>
    <w:p>
      <w:pPr>
        <w:pStyle w:val="[Normal]"/>
        <w:spacing w:line="360" w:lineRule="auto"/>
        <w:ind w:firstLine="1134"/>
        <w:jc w:val="both"/>
        <w:rPr>
          <w:lang w:val="es-AR" w:eastAsia="es-AR" w:bidi="es-AR"/>
        </w:rPr>
      </w:pPr>
      <w:r>
        <w:rPr>
          <w:lang w:val="es-AR" w:eastAsia="es-AR" w:bidi="es-AR"/>
        </w:rPr>
        <w:t xml:space="preserve">Entonces teniendo en cuenta la fecha en que la demandada cedió la unidad vehicular a favor del actor, que es coetánea con el tiempo de la ruptura de la relación, no puede considerarse que la cesión haya sido gratuita y con ello puede inferirse de modo lógico que al tiempo de los depósitos ( julio / agosto 2015 ) la demandada contaba con la suma dineraria resultantes de la cesión.</w:t>
      </w:r>
    </w:p>
    <w:p>
      <w:pPr>
        <w:pStyle w:val="[Normal]"/>
        <w:spacing w:line="360" w:lineRule="auto"/>
        <w:ind w:firstLine="1134"/>
        <w:jc w:val="both"/>
        <w:rPr>
          <w:lang w:val="es-AR" w:eastAsia="es-AR" w:bidi="es-AR"/>
        </w:rPr>
      </w:pPr>
      <w:r>
        <w:rPr>
          <w:lang w:val="es-AR" w:eastAsia="es-AR" w:bidi="es-AR"/>
        </w:rPr>
        <w:t xml:space="preserve">Entonces tengo para mí que el dinero de los plazos fijos pertenecen a la demandada de autos.</w:t>
      </w:r>
    </w:p>
    <w:p>
      <w:pPr>
        <w:pStyle w:val="[Normal]"/>
        <w:spacing w:line="360" w:lineRule="auto"/>
        <w:ind w:firstLine="1134"/>
        <w:jc w:val="both"/>
        <w:rPr>
          <w:lang w:val="es-AR" w:eastAsia="es-AR" w:bidi="es-AR"/>
        </w:rPr>
      </w:pPr>
      <w:r>
        <w:rPr>
          <w:lang w:val="es-AR" w:eastAsia="es-AR" w:bidi="es-AR"/>
        </w:rPr>
        <w:t xml:space="preserve">En consecuencia, atento el modo de resolverse la cuestión, obviamente los agravios de la parte actora referidos a los intereses de los plazos fijos, no han de ser atendidos..</w:t>
      </w:r>
    </w:p>
    <w:p>
      <w:pPr>
        <w:pStyle w:val="[Normal]"/>
        <w:spacing w:line="360" w:lineRule="auto"/>
        <w:ind w:firstLine="1134"/>
        <w:jc w:val="both"/>
        <w:rPr>
          <w:lang w:val="es-AR" w:eastAsia="es-AR" w:bidi="es-AR"/>
        </w:rPr>
      </w:pPr>
      <w:r>
        <w:rPr>
          <w:lang w:val="es-AR" w:eastAsia="es-AR" w:bidi="es-AR"/>
        </w:rPr>
        <w:t xml:space="preserve">Y en punto al agravio relativo a la omisión en sentencia de la procedencia del reclamo por privación de uso de la vivienda, como así el daño moral, he de coincidir con el operador primero, toda vez que las pretensiones en estos términos pedidos fueron realizados en forma subsidiaria a la pretensión inicial por enriquecimiento sin causa por la que prosperó la pretensión.</w:t>
      </w:r>
    </w:p>
    <w:p>
      <w:pPr>
        <w:pStyle w:val="[Normal]"/>
        <w:spacing w:line="360" w:lineRule="auto"/>
        <w:ind w:firstLine="1134"/>
        <w:jc w:val="both"/>
        <w:rPr>
          <w:lang w:val="es-AR" w:eastAsia="es-AR" w:bidi="es-AR"/>
        </w:rPr>
      </w:pPr>
      <w:r>
        <w:rPr>
          <w:lang w:val="es-AR" w:eastAsia="es-AR" w:bidi="es-AR"/>
        </w:rPr>
        <w:t xml:space="preserve">Ello se aprecia en los escritos de ampliación de la demanda claramente, cuando a fs. 57 vta. se dice: "... Asimismo se amplia el objeto de la demanda y para el supuesto caso de tornarse dicha obligación de escriturar de imposible cumplimiento, ...se tenga por interpuesta, </w:t>
      </w:r>
      <w:r>
        <w:rPr>
          <w:i/>
          <w:lang w:val="es-AR" w:eastAsia="es-AR" w:bidi="es-AR"/>
        </w:rPr>
        <w:t xml:space="preserve">en subsidio</w:t>
      </w:r>
      <w:r>
        <w:rPr>
          <w:lang w:val="es-AR" w:eastAsia="es-AR" w:bidi="es-AR"/>
        </w:rPr>
        <w:t xml:space="preserve">, la demanda por daños y perjuicios derivados del enriquecimiento sin causa..." ( sic. ). Y, en términos similares se lo reitera en la posterior ampliación de fs. 75 / 81.</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Graciela Scaraffia y Roberto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interpuesto por la demandada y modificar únicamente la sentencia apelada en relación al punto c) del fallo -que impone restituir al accionante las sumas de los plazos fijos-, el que se revoca. </w:t>
      </w:r>
    </w:p>
    <w:p>
      <w:pPr>
        <w:pStyle w:val="[Normal]"/>
        <w:spacing w:line="360" w:lineRule="auto"/>
        <w:ind w:firstLine="1134"/>
        <w:jc w:val="both"/>
        <w:rPr>
          <w:lang w:val="es-AR" w:eastAsia="es-AR" w:bidi="es-AR"/>
        </w:rPr>
      </w:pPr>
      <w:r>
        <w:rPr>
          <w:lang w:val="es-AR" w:eastAsia="es-AR" w:bidi="es-AR"/>
        </w:rPr>
        <w:t xml:space="preserve"> Las costas se imponen en un 70 % a la demandada y un 30% a la actora (art. 68 CPC.)</w:t>
      </w:r>
    </w:p>
    <w:p>
      <w:pPr>
        <w:pStyle w:val="[Normal]"/>
        <w:spacing w:line="360" w:lineRule="auto"/>
        <w:ind w:firstLine="1134"/>
        <w:jc w:val="both"/>
        <w:rPr>
          <w:lang w:val="es-AR" w:eastAsia="es-AR" w:bidi="es-AR"/>
        </w:rPr>
      </w:pPr>
      <w:r>
        <w:rPr>
          <w:lang w:val="es-AR" w:eastAsia="es-AR" w:bidi="es-AR"/>
        </w:rPr>
        <w:t xml:space="preserve">Desestimar el recurso de apelación interpuesto por la parte actora.</w:t>
      </w:r>
    </w:p>
    <w:p>
      <w:pPr>
        <w:pStyle w:val="[Normal]"/>
        <w:spacing w:line="360" w:lineRule="auto"/>
        <w:ind w:firstLine="1134"/>
        <w:jc w:val="both"/>
        <w:rPr>
          <w:lang w:val="es-AR" w:eastAsia="es-AR" w:bidi="es-AR"/>
        </w:rPr>
      </w:pPr>
      <w:r>
        <w:rPr>
          <w:lang w:val="es-AR" w:eastAsia="es-AR" w:bidi="es-AR"/>
        </w:rPr>
        <w:t xml:space="preserve">Diferir la regulación de los honorarios de los Letrados intervinientes para la oportunidad procesal pertinente (art. 31 y 51 Ley de Honorarios).</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Graciela Scaraffia y Roberto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parcialmente al recurso interpuesto por la demandada y modificar únicamente la sentencia apelada en relación al punto c) del fallo -que impone restituir al accionante las sumas de los plazos fijos-, el que se revoca. Las costas se imponen en un 70 % a la demandada y un 30% a la actora (art. 68 CPC.)</w:t>
      </w:r>
    </w:p>
    <w:p>
      <w:pPr>
        <w:pStyle w:val="[Normal]"/>
        <w:spacing w:line="360" w:lineRule="auto"/>
        <w:ind w:firstLine="1134"/>
        <w:jc w:val="both"/>
        <w:rPr>
          <w:lang w:val="es-AR" w:eastAsia="es-AR" w:bidi="es-AR"/>
        </w:rPr>
      </w:pPr>
      <w:r>
        <w:rPr>
          <w:lang w:val="es-AR" w:eastAsia="es-AR" w:bidi="es-AR"/>
        </w:rPr>
        <w:t xml:space="preserve">Desestimar el recurso de apelación interpuesto por la parte actora. </w:t>
      </w:r>
    </w:p>
    <w:p>
      <w:pPr>
        <w:pStyle w:val="[Normal]"/>
        <w:spacing w:line="360" w:lineRule="auto"/>
        <w:ind w:firstLine="1134"/>
        <w:jc w:val="both"/>
        <w:rPr>
          <w:lang w:val="es-AR" w:eastAsia="es-AR" w:bidi="es-AR"/>
        </w:rPr>
      </w:pPr>
      <w:r>
        <w:rPr>
          <w:lang w:val="es-AR" w:eastAsia="es-AR" w:bidi="es-AR"/>
        </w:rPr>
        <w:t xml:space="preserve">Diferir la regulación de los honorarios de los Letrados intervinientes para la oportunidad procesal pertinente (art. 31 y 51 Ley de Honorarios)</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jc w:val="both"/>
        <w:rPr>
          <w:lang w:val="es-AR" w:eastAsia="es-AR" w:bidi="es-AR"/>
        </w:rPr>
      </w:pPr>
      <w:r>
        <w:rPr>
          <w:noProof/>
          <w:color w:val="000000"/>
          <w:lang w:val="es-AR" w:eastAsia="es-AR" w:bidi="es-AR"/>
        </w:rPr>
        <w:t xml:space="preserve">20215345956@NOTIFICACIONES.SCBA.GOV.AR</w:t>
      </w:r>
    </w:p>
    <w:p>
      <w:pPr>
        <w:pStyle w:val="[Normal]"/>
        <w:spacing w:line="360" w:lineRule="auto"/>
        <w:ind w:firstLine="1134"/>
        <w:jc w:val="both"/>
        <w:rPr>
          <w:lang w:val="es-AR" w:eastAsia="es-AR" w:bidi="es-AR"/>
        </w:rPr>
      </w:pPr>
      <w:r>
        <w:rPr>
          <w:noProof/>
          <w:color w:val="000000"/>
          <w:lang w:val="es-AR" w:eastAsia="es-AR" w:bidi="es-AR"/>
        </w:rPr>
        <w:t xml:space="preserve">20925083497@NOTIFICACIONES.SCBA.GOV.AR</w:t>
      </w:r>
    </w:p>
    <w:p>
      <w:pPr>
        <w:pStyle w:val="[Normal]"/>
        <w:spacing w:line="360" w:lineRule="auto"/>
        <w:ind w:firstLine="1134"/>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11/05/2021 09:46:58 -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11/05/2021 09:47:34 -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11/05/2021 09:48:30 -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11/05/2021 12:51:20 -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20215345956@NOTIFICACIONES.SCBA.GOV.AR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20925083497@NOTIFICACIONES.SCBA.GOV.AR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‰8!")è%/ÂS…Š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240102090005159751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3033"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3989 - 20 - ALOE JOSE MARTIN  C/ ROST RODRIGUEZ FEBEA GRISEL S/DAÑOS Y PERJUICIOS POR ENRIQUECIMIENTO S/CAUSA (65)</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‰8!")è%/ÂS…Š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240102090005159751</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