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rPr>
          <w:lang w:val="es-AR" w:eastAsia="es-AR" w:bidi="es-AR"/>
        </w:rPr>
      </w:pPr>
    </w:p>
    <w:p>
      <w:pPr>
        <w:pStyle w:val="[Normal]"/>
        <w:spacing w:line="360" w:lineRule="auto"/>
        <w:rPr>
          <w:lang w:val="es-AR" w:eastAsia="es-AR" w:bidi="es-AR"/>
        </w:rPr>
      </w:pPr>
      <w:r>
        <w:rPr>
          <w:b/>
          <w:lang w:val="es-AR" w:eastAsia="es-AR" w:bidi="es-AR"/>
        </w:rPr>
        <w:t xml:space="preserve">	Registro N° 66 /</w:t>
      </w:r>
      <w:r>
        <w:rPr>
          <w:b/>
          <w:color w:val="000000"/>
          <w:lang w:val="es-AR" w:eastAsia="es-AR" w:bidi="es-AR"/>
        </w:rPr>
        <w:t xml:space="preserve">2021</w:t>
      </w:r>
      <w:r>
        <w:rPr>
          <w:color w:val="000000"/>
          <w:lang w:val="es-AR" w:eastAsia="es-AR" w:bidi="es-AR"/>
        </w:rPr>
        <w:t xml:space="preserve"> </w:t>
      </w:r>
    </w:p>
    <w:p>
      <w:pPr>
        <w:pStyle w:val="[Normal]"/>
        <w:spacing w:line="360" w:lineRule="auto"/>
        <w:jc w:val="both"/>
        <w:rPr>
          <w:lang w:val="es-AR" w:eastAsia="es-AR" w:bidi="es-AR"/>
        </w:rPr>
      </w:pPr>
      <w:r>
        <w:rPr>
          <w:lang w:val="es-AR" w:eastAsia="es-AR" w:bidi="es-AR"/>
        </w:rPr>
        <w:t xml:space="preserve">	</w:t>
      </w:r>
      <w:r>
        <w:rPr>
          <w:b/>
          <w:lang w:val="es-AR" w:eastAsia="es-AR" w:bidi="es-AR"/>
        </w:rPr>
        <w:t xml:space="preserve">Folio 352/363</w:t>
      </w:r>
    </w:p>
    <w:p>
      <w:pPr>
        <w:pStyle w:val="[Normal]"/>
        <w:spacing w:line="360" w:lineRule="auto"/>
        <w:jc w:val="both"/>
        <w:rPr>
          <w:lang w:val="es-AR" w:eastAsia="es-AR" w:bidi="es-AR"/>
        </w:rPr>
      </w:pPr>
    </w:p>
    <w:p>
      <w:pPr>
        <w:pStyle w:val="[Normal]"/>
        <w:spacing w:line="360" w:lineRule="auto"/>
        <w:ind w:firstLine="1134"/>
        <w:jc w:val="both"/>
        <w:rPr>
          <w:lang w:val="es-AR" w:eastAsia="es-AR" w:bidi="es-AR"/>
        </w:rPr>
      </w:pPr>
      <w:r>
        <w:rPr>
          <w:lang w:val="es-AR" w:eastAsia="es-AR" w:bidi="es-AR"/>
        </w:rPr>
        <w:t xml:space="preserve">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4162-20</w:t>
      </w:r>
      <w:r>
        <w:rPr>
          <w:lang w:val="es-AR" w:eastAsia="es-AR" w:bidi="es-AR"/>
        </w:rPr>
        <w:t xml:space="preserve"> caratulada </w:t>
      </w:r>
      <w:r>
        <w:rPr>
          <w:b/>
          <w:lang w:val="es-AR" w:eastAsia="es-AR" w:bidi="es-AR"/>
        </w:rPr>
        <w:t xml:space="preserve">"</w:t>
      </w:r>
      <w:r>
        <w:rPr>
          <w:b/>
          <w:color w:val="000000"/>
          <w:lang w:val="es-AR" w:eastAsia="es-AR" w:bidi="es-AR"/>
        </w:rPr>
        <w:t xml:space="preserve">ZARATE FEDERICO C/ SIRITO EMILIO SEBASTIAN Y OTRO/A S/ DAÑOS Y PERJ.AUTOM. C/LES. O MUERTE (EXC.ESTADO)</w:t>
      </w:r>
      <w:r>
        <w:rPr>
          <w:b/>
          <w:lang w:val="es-AR" w:eastAsia="es-AR" w:bidi="es-AR"/>
        </w:rPr>
        <w:t xml:space="preserve">"</w:t>
      </w:r>
      <w:r>
        <w:rPr>
          <w:lang w:val="es-AR" w:eastAsia="es-AR" w:bidi="es-AR"/>
        </w:rPr>
        <w:t xml:space="preserve">, Expte. N°73.318 </w:t>
      </w:r>
      <w:r>
        <w:rPr>
          <w:color w:val="000000"/>
          <w:lang w:val="es-AR" w:eastAsia="es-AR" w:bidi="es-AR"/>
        </w:rPr>
        <w:t xml:space="preserve"> </w:t>
      </w:r>
      <w:r>
        <w:rPr>
          <w:lang w:val="es-AR" w:eastAsia="es-AR" w:bidi="es-AR"/>
        </w:rPr>
        <w:t xml:space="preserve">del </w:t>
      </w:r>
      <w:r>
        <w:rPr>
          <w:color w:val="000000"/>
          <w:lang w:val="es-AR" w:eastAsia="es-AR" w:bidi="es-AR"/>
        </w:rPr>
        <w:t xml:space="preserve">Juzgado en lo Civil y Comercial N° 1,</w:t>
      </w:r>
      <w:r>
        <w:rPr>
          <w:lang w:val="es-AR" w:eastAsia="es-AR" w:bidi="es-AR"/>
        </w:rPr>
        <w:t xml:space="preserve"> se practicó el sorteo de ley que determinó que la votación debía efectuarse en el siguiente orden: </w:t>
      </w:r>
      <w:r>
        <w:rPr>
          <w:color w:val="000000"/>
          <w:lang w:val="es-AR" w:eastAsia="es-AR" w:bidi="es-AR"/>
        </w:rPr>
        <w:t xml:space="preserve">BERNARDO LOUISE, ROBERTO DEGLEUE Y GRACIELA SCARAFFIA</w:t>
      </w:r>
      <w:r>
        <w:rPr>
          <w:lang w:val="es-AR" w:eastAsia="es-AR" w:bidi="es-AR"/>
        </w:rPr>
        <w:t xml:space="preserve">, y estudiados los autos se resolvió  plantear y votar las siguientes: </w:t>
      </w:r>
    </w:p>
    <w:p>
      <w:pPr>
        <w:pStyle w:val="[Normal]"/>
        <w:spacing w:line="360" w:lineRule="auto"/>
        <w:ind w:firstLine="1134"/>
        <w:jc w:val="both"/>
        <w:rPr>
          <w:lang w:val="es-AR" w:eastAsia="es-AR" w:bidi="es-AR"/>
        </w:rPr>
      </w:pPr>
      <w:r>
        <w:rPr>
          <w:lang w:val="es-AR" w:eastAsia="es-AR" w:bidi="es-AR"/>
        </w:rPr>
        <w:t xml:space="preserve">C U E S T I O N E S:</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w:t>
      </w:r>
      <w:r>
        <w:rPr>
          <w:color w:val="000000"/>
          <w:lang w:val="es-AR" w:eastAsia="es-AR" w:bidi="es-AR"/>
        </w:rPr>
        <w:t xml:space="preserve">BERNARDO LOUISE</w:t>
      </w:r>
      <w:r>
        <w:rPr>
          <w:lang w:val="es-AR" w:eastAsia="es-AR" w:bidi="es-AR"/>
        </w:rPr>
        <w:t xml:space="preserve"> dijo:</w:t>
      </w:r>
    </w:p>
    <w:p>
      <w:pPr>
        <w:pStyle w:val="[Normal]"/>
        <w:spacing w:line="360" w:lineRule="auto"/>
        <w:ind w:firstLine="1134"/>
        <w:jc w:val="both"/>
        <w:rPr>
          <w:lang w:val="es-AR" w:eastAsia="es-AR" w:bidi="es-AR"/>
        </w:rPr>
      </w:pPr>
      <w:r>
        <w:rPr>
          <w:lang w:val="es-AR" w:eastAsia="es-AR" w:bidi="es-AR"/>
        </w:rPr>
        <w:t xml:space="preserve">El Sr. juez de la instancia anterior dictó sentencia  e hizo lugar a la demanda instaurada por el Sr. Federico Zarate, condenó  al Sr. Emilio Sebastián Sirito y  a la citada en garantía Cooperación Mutual Patronal Sociedad Mutual de Seguros Generales, a abonar a la parte actora dentro de los diez días de notificada la presente, la suma de UN MILLÓN QUINIENTOS CUARENTA Y CINCO MIL NOVECIENTOS OCHENTA Y TRES Pesos con 60/100 ($1.545.983,60), con más sus respectivos intereses calculados a la tasa pasiva "digital" que pague el Bco. de la Pcia. de Bs. As. en sus depósitos a treinta días vigente en los distintos períodos de aplicación, a partir de la fecha de la mora (18/06/2018) y hasta el momento de su efectivo pago. Aplicó  las costas al demandado y a la citada en garantía, por resultar vencidos (art. 68 C.P.C.) y difirió la regulación de honorarios de los letrados intervinientes y de los peritos, hasta que medie firme la respectiva liquidación de intereses y gastos (art. 51 de la ley 14.967).</w:t>
      </w:r>
    </w:p>
    <w:p>
      <w:pPr>
        <w:pStyle w:val="[Normal]"/>
        <w:spacing w:line="360" w:lineRule="auto"/>
        <w:ind w:firstLine="1134"/>
        <w:jc w:val="both"/>
        <w:rPr>
          <w:lang w:val="es-AR" w:eastAsia="es-AR" w:bidi="es-AR"/>
        </w:rPr>
      </w:pPr>
      <w:r>
        <w:rPr>
          <w:lang w:val="es-AR" w:eastAsia="es-AR" w:bidi="es-AR"/>
        </w:rPr>
        <w:t xml:space="preserve">Lo decidido fue objeto de recursos de apelación de ambas partes, así primeramente la demandada lo hace en fecha 10/12/2020 y la  accionante por medio de presentación  electrónica en fecha 12/12/2020.</w:t>
      </w:r>
    </w:p>
    <w:p>
      <w:pPr>
        <w:pStyle w:val="[Normal]"/>
        <w:spacing w:line="360" w:lineRule="auto"/>
        <w:ind w:firstLine="1134"/>
        <w:jc w:val="both"/>
        <w:rPr>
          <w:lang w:val="es-AR" w:eastAsia="es-AR" w:bidi="es-AR"/>
        </w:rPr>
      </w:pPr>
      <w:r>
        <w:rPr>
          <w:lang w:val="es-AR" w:eastAsia="es-AR" w:bidi="es-AR"/>
        </w:rPr>
        <w:t xml:space="preserve">Concedidos los recursos y arribados los autos a esta Instancia, en fecha 24 / 02 / 2021 es agregado el memorial de la parte actora y luego en 12 / 03 / 2021, lo hace la demandada el que es respondido por la contraria en fecha 25 / 03 / 2021.</w:t>
      </w:r>
    </w:p>
    <w:p>
      <w:pPr>
        <w:pStyle w:val="[Normal]"/>
        <w:spacing w:line="360" w:lineRule="auto"/>
        <w:ind w:firstLine="1134"/>
        <w:jc w:val="both"/>
        <w:rPr>
          <w:lang w:val="es-AR" w:eastAsia="es-AR" w:bidi="es-AR"/>
        </w:rPr>
      </w:pPr>
      <w:r>
        <w:rPr>
          <w:lang w:val="es-AR" w:eastAsia="es-AR" w:bidi="es-AR"/>
        </w:rPr>
        <w:t xml:space="preserve">En fecha 06 / 04 / 20121, se llaman los autos para sentencia, providencia que firme a la fecha deja a la causa en condiciones de ser fallada.</w:t>
      </w:r>
    </w:p>
    <w:p>
      <w:pPr>
        <w:pStyle w:val="[Normal]"/>
        <w:spacing w:line="360" w:lineRule="auto"/>
        <w:ind w:firstLine="1134"/>
        <w:jc w:val="both"/>
        <w:rPr>
          <w:b/>
          <w:lang w:val="es-AR" w:eastAsia="es-AR" w:bidi="es-AR"/>
        </w:rPr>
      </w:pPr>
      <w:r>
        <w:rPr>
          <w:b/>
          <w:lang w:val="es-AR" w:eastAsia="es-AR" w:bidi="es-AR"/>
        </w:rPr>
        <w:t xml:space="preserve">Agravios de la parte Actora:</w:t>
      </w:r>
    </w:p>
    <w:p>
      <w:pPr>
        <w:pStyle w:val="[Normal]"/>
        <w:spacing w:line="360" w:lineRule="auto"/>
        <w:ind w:firstLine="1134"/>
        <w:jc w:val="both"/>
        <w:rPr>
          <w:lang w:val="es-AR" w:eastAsia="es-AR" w:bidi="es-AR"/>
        </w:rPr>
      </w:pPr>
      <w:r>
        <w:rPr>
          <w:lang w:val="es-AR" w:eastAsia="es-AR" w:bidi="es-AR"/>
        </w:rPr>
        <w:t xml:space="preserve">Primeramente se expide en relación al reconocimiento, en sentencia, de la responsabilidad del demandado en la causación del daño no obstante lo cual se agravia en relación al  monto  por  el  que procedió  el rubros daño moral y la desestimación del  lucro cesante.</w:t>
      </w:r>
    </w:p>
    <w:p>
      <w:pPr>
        <w:pStyle w:val="[Normal]"/>
        <w:spacing w:line="360" w:lineRule="auto"/>
        <w:ind w:firstLine="1134"/>
        <w:jc w:val="both"/>
        <w:rPr>
          <w:lang w:val="es-AR" w:eastAsia="es-AR" w:bidi="es-AR"/>
        </w:rPr>
      </w:pPr>
      <w:r>
        <w:rPr>
          <w:lang w:val="es-AR" w:eastAsia="es-AR" w:bidi="es-AR"/>
        </w:rPr>
        <w:t xml:space="preserve">Así dice en que consiste la  afección moral  para seguidamente reseñar las secuelas de los daños que sufriera, considera que lo cuantificado por el sentenciante   es  arbitrario  y a fin de apoyar lo dicho da cuenta de las distintas vivencias que soportó y aún debe soportar como así el cambio de vida que le produjo al no poder continuar realizando actividades sociales, deportivas y la tristeza por ello.</w:t>
      </w:r>
    </w:p>
    <w:p>
      <w:pPr>
        <w:pStyle w:val="[Normal]"/>
        <w:spacing w:line="360" w:lineRule="auto"/>
        <w:ind w:firstLine="1134"/>
        <w:jc w:val="both"/>
        <w:rPr>
          <w:lang w:val="es-AR" w:eastAsia="es-AR" w:bidi="es-AR"/>
        </w:rPr>
      </w:pPr>
      <w:r>
        <w:rPr>
          <w:lang w:val="es-AR" w:eastAsia="es-AR" w:bidi="es-AR"/>
        </w:rPr>
        <w:t xml:space="preserve">Afirma lo expuesto en cita de jurisprudencia que entiende avalan su pedimento y que al hallarse cercenada su vida cotidiana como consecuencia del infortunio, solicita se revoque lo decidido y se fije un monto acorde al daño sufrido.</w:t>
      </w:r>
    </w:p>
    <w:p>
      <w:pPr>
        <w:pStyle w:val="[Normal]"/>
        <w:spacing w:line="360" w:lineRule="auto"/>
        <w:ind w:firstLine="1134"/>
        <w:jc w:val="both"/>
        <w:rPr>
          <w:lang w:val="es-AR" w:eastAsia="es-AR" w:bidi="es-AR"/>
        </w:rPr>
      </w:pPr>
      <w:r>
        <w:rPr>
          <w:lang w:val="es-AR" w:eastAsia="es-AR" w:bidi="es-AR"/>
        </w:rPr>
        <w:t xml:space="preserve">Se queja también en punto a lo resuelto al determinarse el reclamo por lucro cesante, cuando en el caso existe prueba de la actividad laboral  que realizaba y la imposibilidad de continuar haciéndolo con  la misma carga horaria  con que antes del accidente lo hacía,  de lo que da cuenta  la prueba testimonial rendida. </w:t>
      </w:r>
    </w:p>
    <w:p>
      <w:pPr>
        <w:pStyle w:val="[Normal]"/>
        <w:spacing w:line="360" w:lineRule="auto"/>
        <w:ind w:firstLine="1134"/>
        <w:jc w:val="both"/>
        <w:rPr>
          <w:lang w:val="es-AR" w:eastAsia="es-AR" w:bidi="es-AR"/>
        </w:rPr>
      </w:pPr>
      <w:r>
        <w:rPr>
          <w:lang w:val="es-AR" w:eastAsia="es-AR" w:bidi="es-AR"/>
        </w:rPr>
        <w:t xml:space="preserve">Se  duele también por cuanto el testimonio no fue impugnado, ni objetado por lo que la descalificación realizada por el a-quo al no considerarlo deviene arbitraria.</w:t>
      </w:r>
    </w:p>
    <w:p>
      <w:pPr>
        <w:pStyle w:val="[Normal]"/>
        <w:spacing w:line="360" w:lineRule="auto"/>
        <w:ind w:firstLine="1134"/>
        <w:jc w:val="both"/>
        <w:rPr>
          <w:lang w:val="es-AR" w:eastAsia="es-AR" w:bidi="es-AR"/>
        </w:rPr>
      </w:pPr>
      <w:r>
        <w:rPr>
          <w:lang w:val="es-AR" w:eastAsia="es-AR" w:bidi="es-AR"/>
        </w:rPr>
        <w:t xml:space="preserve">Continua diciendo, que se ha acreditado debidamente su actividad laboral como mensajero y que el juez a-quo entendió que no había prueba de los ingresos, cuando es público y notorio que dicha actividad no es registrada,  es en " </w:t>
      </w:r>
      <w:r>
        <w:rPr>
          <w:i/>
          <w:lang w:val="es-AR" w:eastAsia="es-AR" w:bidi="es-AR"/>
        </w:rPr>
        <w:t xml:space="preserve">negro</w:t>
      </w:r>
      <w:r>
        <w:rPr>
          <w:lang w:val="es-AR" w:eastAsia="es-AR" w:bidi="es-AR"/>
        </w:rPr>
        <w:t xml:space="preserve"> " ( sic ).</w:t>
      </w:r>
    </w:p>
    <w:p>
      <w:pPr>
        <w:pStyle w:val="[Normal]"/>
        <w:spacing w:line="360" w:lineRule="auto"/>
        <w:ind w:firstLine="1134"/>
        <w:jc w:val="both"/>
        <w:rPr>
          <w:lang w:val="es-AR" w:eastAsia="es-AR" w:bidi="es-AR"/>
        </w:rPr>
      </w:pPr>
      <w:r>
        <w:rPr>
          <w:lang w:val="es-AR" w:eastAsia="es-AR" w:bidi="es-AR"/>
        </w:rPr>
        <w:t xml:space="preserve">Agrega, que el proceso es la búsqueda de la verdad objetiva y contrariamente la sentencia dictada no refleja la verdad de los hechos y así acreditado que el actor trabajaba diariamente, es el sostén del hogar, se vio privado de continuar con su actividad y  la desestimación del rubro resulta  injusta  y no debe ser amparada por el derecho. Por ello,  el principio de reparación plena imponen la revocación del fallo con costas a la parte contraria.</w:t>
      </w:r>
    </w:p>
    <w:p>
      <w:pPr>
        <w:pStyle w:val="[Normal]"/>
        <w:spacing w:line="360" w:lineRule="auto"/>
        <w:ind w:firstLine="1134"/>
        <w:jc w:val="both"/>
        <w:rPr>
          <w:lang w:val="es-AR" w:eastAsia="es-AR" w:bidi="es-AR"/>
        </w:rPr>
      </w:pPr>
      <w:r>
        <w:rPr>
          <w:b/>
          <w:lang w:val="es-AR" w:eastAsia="es-AR" w:bidi="es-AR"/>
        </w:rPr>
        <w:t xml:space="preserve">Agravios de la demandada y Citada en Garantía:</w:t>
      </w:r>
    </w:p>
    <w:p>
      <w:pPr>
        <w:pStyle w:val="[Normal]"/>
        <w:spacing w:line="360" w:lineRule="auto"/>
        <w:ind w:firstLine="1134"/>
        <w:jc w:val="both"/>
        <w:rPr>
          <w:lang w:val="es-AR" w:eastAsia="es-AR" w:bidi="es-AR"/>
        </w:rPr>
      </w:pPr>
      <w:r>
        <w:rPr>
          <w:lang w:val="es-AR" w:eastAsia="es-AR" w:bidi="es-AR"/>
        </w:rPr>
        <w:t xml:space="preserve">Principia el apelante dando cuenta de las razones vertidas por el Sr. juez a-quo para fallar del modo que lo hizo, pero se agravia de la sentencia por cuanto considera que de la correcta valoración de las pruebas, surge clara la falta de responsabilidad del accionado.</w:t>
      </w:r>
    </w:p>
    <w:p>
      <w:pPr>
        <w:pStyle w:val="[Normal]"/>
        <w:spacing w:line="360" w:lineRule="auto"/>
        <w:ind w:firstLine="1134"/>
        <w:jc w:val="both"/>
        <w:rPr>
          <w:lang w:val="es-AR" w:eastAsia="es-AR" w:bidi="es-AR"/>
        </w:rPr>
      </w:pPr>
      <w:r>
        <w:rPr>
          <w:lang w:val="es-AR" w:eastAsia="es-AR" w:bidi="es-AR"/>
        </w:rPr>
        <w:t xml:space="preserve">Así sostiene que el fallo, nada dice en relación en cuanto al lugar en donde se produjo el impacto entre las unidades vehiculares, de lo que da cuenta las diversas constancias de la causa penal que acreditan que la motocicleta impactó al utilitario cuando éste ya había traspasado más de dos tercios de la mano de circulación.</w:t>
      </w:r>
    </w:p>
    <w:p>
      <w:pPr>
        <w:pStyle w:val="[Normal]"/>
        <w:spacing w:line="360" w:lineRule="auto"/>
        <w:ind w:firstLine="1134"/>
        <w:jc w:val="both"/>
        <w:rPr>
          <w:lang w:val="es-AR" w:eastAsia="es-AR" w:bidi="es-AR"/>
        </w:rPr>
      </w:pPr>
      <w:r>
        <w:rPr>
          <w:lang w:val="es-AR" w:eastAsia="es-AR" w:bidi="es-AR"/>
        </w:rPr>
        <w:t xml:space="preserve">Que ello queda  probado  con la prueba pericial mecánica a lo que aduna lo que se evidencia en las fotografías de la causa penal, por lo que el a-quo no analizó en debida forma  el lugar donde se produce el siniestro y la norma aplicable al caso. Que, ello a su vez es reforzado por la ubicación de los daños que presenta el utilitario, lo que ha sido debidamente peritado.</w:t>
      </w:r>
    </w:p>
    <w:p>
      <w:pPr>
        <w:pStyle w:val="[Normal]"/>
        <w:spacing w:line="360" w:lineRule="auto"/>
        <w:ind w:firstLine="1134"/>
        <w:jc w:val="both"/>
        <w:rPr>
          <w:lang w:val="es-AR" w:eastAsia="es-AR" w:bidi="es-AR"/>
        </w:rPr>
      </w:pPr>
      <w:r>
        <w:rPr>
          <w:lang w:val="es-AR" w:eastAsia="es-AR" w:bidi="es-AR"/>
        </w:rPr>
        <w:t xml:space="preserve">Dice por todo ello, que fue la víctima la exclusiva responsable del evento dañoso a lo que debe sumarse que su parte gozaba de prioridad de paso y que no se dan en la especie ninguna de las excepciones que prevé la Ley de Tránsito.</w:t>
      </w:r>
    </w:p>
    <w:p>
      <w:pPr>
        <w:pStyle w:val="[Normal]"/>
        <w:spacing w:line="360" w:lineRule="auto"/>
        <w:ind w:firstLine="1134"/>
        <w:jc w:val="both"/>
        <w:rPr>
          <w:lang w:val="es-AR" w:eastAsia="es-AR" w:bidi="es-AR"/>
        </w:rPr>
      </w:pPr>
      <w:r>
        <w:rPr>
          <w:lang w:val="es-AR" w:eastAsia="es-AR" w:bidi="es-AR"/>
        </w:rPr>
        <w:t xml:space="preserve">En abono de ello, transcribe citas de jurisprudencia y doctrina legal y concluye este segmento del agravio peticionando la revocación de la sentencia.</w:t>
      </w:r>
    </w:p>
    <w:p>
      <w:pPr>
        <w:pStyle w:val="[Normal]"/>
        <w:spacing w:line="360" w:lineRule="auto"/>
        <w:ind w:firstLine="1134"/>
        <w:jc w:val="both"/>
        <w:rPr>
          <w:lang w:val="es-AR" w:eastAsia="es-AR" w:bidi="es-AR"/>
        </w:rPr>
      </w:pPr>
      <w:r>
        <w:rPr>
          <w:lang w:val="es-AR" w:eastAsia="es-AR" w:bidi="es-AR"/>
        </w:rPr>
        <w:t xml:space="preserve">Se agravia además de los montos de procedencia de los rubros, los que entiende excesivos, considera que el esguince de rodilla izquierda y su falta de incidencia en las aptitudes productivas no fue valorado sino que el fallo es producto de una aplicación fría de fórmulas matemáticas, teniendo en cuenta la actividad como mensajero.</w:t>
      </w:r>
    </w:p>
    <w:p>
      <w:pPr>
        <w:pStyle w:val="[Normal]"/>
        <w:spacing w:line="360" w:lineRule="auto"/>
        <w:ind w:firstLine="1134"/>
        <w:jc w:val="both"/>
        <w:rPr>
          <w:lang w:val="es-AR" w:eastAsia="es-AR" w:bidi="es-AR"/>
        </w:rPr>
      </w:pPr>
      <w:r>
        <w:rPr>
          <w:lang w:val="es-AR" w:eastAsia="es-AR" w:bidi="es-AR"/>
        </w:rPr>
        <w:t xml:space="preserve">Cita doctrina y jurisprudencia, reitera la actividad denunciada por el actor como mensajero y que se halla acreditado que ha seguido trabajando sin que la lesión lo haya afectado.</w:t>
      </w:r>
    </w:p>
    <w:p>
      <w:pPr>
        <w:pStyle w:val="[Normal]"/>
        <w:spacing w:line="360" w:lineRule="auto"/>
        <w:ind w:firstLine="1134"/>
        <w:jc w:val="both"/>
        <w:rPr>
          <w:lang w:val="es-AR" w:eastAsia="es-AR" w:bidi="es-AR"/>
        </w:rPr>
      </w:pPr>
      <w:r>
        <w:rPr>
          <w:lang w:val="es-AR" w:eastAsia="es-AR" w:bidi="es-AR"/>
        </w:rPr>
        <w:t xml:space="preserve">Seguidamente, critica el monto en concepto de daño moral, por cuanto si bien el a-quo enunció reglas correctas, determinó una suma exorbitante que no representa una adecuada ponderación del daño inferido lo que justifica la revisión pretendida.</w:t>
      </w:r>
    </w:p>
    <w:p>
      <w:pPr>
        <w:pStyle w:val="[Normal]"/>
        <w:spacing w:line="360" w:lineRule="auto"/>
        <w:ind w:firstLine="1134"/>
        <w:jc w:val="both"/>
        <w:rPr>
          <w:lang w:val="es-AR" w:eastAsia="es-AR" w:bidi="es-AR"/>
        </w:rPr>
      </w:pPr>
      <w:r>
        <w:rPr>
          <w:lang w:val="es-AR" w:eastAsia="es-AR" w:bidi="es-AR"/>
        </w:rPr>
        <w:t xml:space="preserve">Finalmente, se duelen en relación a la tasa de interés determinada en sentencia, esto es " la tasa pasiva digital del Banco de la Provincia de Bs. As., toda vez que el salario mínimo vital y móvil, tomado como pauta, fue el vigente al tiempo del dictado de la sentencia cuando en el caso conforme la Corte de la Provincia Bs. As., corresponde la aplicación de intereses  a la tasa pura.</w:t>
      </w:r>
    </w:p>
    <w:p>
      <w:pPr>
        <w:pStyle w:val="[Normal]"/>
        <w:spacing w:line="360" w:lineRule="auto"/>
        <w:ind w:firstLine="1134"/>
        <w:jc w:val="both"/>
        <w:rPr>
          <w:lang w:val="es-AR" w:eastAsia="es-AR" w:bidi="es-AR"/>
        </w:rPr>
      </w:pPr>
      <w:r>
        <w:rPr>
          <w:lang w:val="es-AR" w:eastAsia="es-AR" w:bidi="es-AR"/>
        </w:rPr>
        <w:t xml:space="preserve">Por todo ello, solicita que en su oportunidad se revoque la sentencia.</w:t>
      </w:r>
    </w:p>
    <w:p>
      <w:pPr>
        <w:pStyle w:val="[Normal]"/>
        <w:spacing w:line="360" w:lineRule="auto"/>
        <w:ind w:firstLine="1134"/>
        <w:jc w:val="both"/>
        <w:rPr>
          <w:lang w:val="es-AR" w:eastAsia="es-AR" w:bidi="es-AR"/>
        </w:rPr>
      </w:pPr>
      <w:r>
        <w:rPr>
          <w:lang w:val="es-AR" w:eastAsia="es-AR" w:bidi="es-AR"/>
        </w:rPr>
        <w:t xml:space="preserve">La parte actora en fecha 25 / 03 / 21 replica los agravios de la contraria y solicita la desestimación de los mismos.</w:t>
      </w:r>
    </w:p>
    <w:p>
      <w:pPr>
        <w:pStyle w:val="[Normal]"/>
        <w:spacing w:line="360" w:lineRule="auto"/>
        <w:ind w:firstLine="1134"/>
        <w:jc w:val="both"/>
        <w:rPr>
          <w:lang w:val="es-AR" w:eastAsia="es-AR" w:bidi="es-AR"/>
        </w:rPr>
      </w:pPr>
      <w:r>
        <w:rPr>
          <w:lang w:val="es-AR" w:eastAsia="es-AR" w:bidi="es-AR"/>
        </w:rPr>
        <w:t xml:space="preserve">En tarea de decidir, luego de ponderar los antecedentes que informan a la causa, los términos de la sentencia y los agravios de las partes, soy de opinión que la sentencia debe ser revocada parcialmente.</w:t>
      </w:r>
    </w:p>
    <w:p>
      <w:pPr>
        <w:pStyle w:val="[Normal]"/>
        <w:spacing w:line="360" w:lineRule="auto"/>
        <w:ind w:firstLine="1134"/>
        <w:jc w:val="both"/>
        <w:rPr>
          <w:lang w:val="es-AR" w:eastAsia="es-AR" w:bidi="es-AR"/>
        </w:rPr>
      </w:pPr>
      <w:r>
        <w:rPr>
          <w:lang w:val="es-AR" w:eastAsia="es-AR" w:bidi="es-AR"/>
        </w:rPr>
        <w:t xml:space="preserve">Para así decidir, he de partir del hecho que ha quedado efectivamente resuelto y firme, esto es que el día 18 de julio de 2018, aproximadamente a las 12:50 horas, el Sr. Zarate circulaba por Bv. Velez Sarsfield de Pergamino, al mando de su motocicleta marca Honda Invicta CB 150 dominio 440-KRM, en sentido sur-norte. Que, el demandado Sr. Sirito, circulaba por calle Almirante Brown al mando de su automotor marca Peugeot Partner dominio MOA-630, en dirección este-oeste. Que, en la intersección de la Bv. Velez Sarsfield y la calle Almirante Brown / Salta ambos vehículos protagonizaron un accidente de tránsito que nos ocupa.</w:t>
      </w:r>
    </w:p>
    <w:p>
      <w:pPr>
        <w:pStyle w:val="[Normal]"/>
        <w:spacing w:line="360" w:lineRule="auto"/>
        <w:ind w:firstLine="1134"/>
        <w:jc w:val="both"/>
        <w:rPr>
          <w:lang w:val="es-AR" w:eastAsia="es-AR" w:bidi="es-AR"/>
        </w:rPr>
      </w:pPr>
      <w:r>
        <w:rPr>
          <w:lang w:val="es-AR" w:eastAsia="es-AR" w:bidi="es-AR"/>
        </w:rPr>
        <w:t xml:space="preserve">Que, las constancias de la causa penal acompañada, tampoco controvertidas, dan cuenta del lugar de la intersección  en que impactaron los vehículos, la localización de los  golpes que cada uno de ellos recibieron, el carácter de embistente físico - no jurídico - de la motocicleta, que no se pudo determinar la velocidad de los conducidos y que conforme el art. 41 de la ley de Tránsito, el vehículo conducido por el demandado gozaba," </w:t>
      </w:r>
      <w:r>
        <w:rPr>
          <w:b/>
          <w:i/>
          <w:lang w:val="es-AR" w:eastAsia="es-AR" w:bidi="es-AR"/>
        </w:rPr>
        <w:t xml:space="preserve">en principio</w:t>
      </w:r>
      <w:r>
        <w:rPr>
          <w:lang w:val="es-AR" w:eastAsia="es-AR" w:bidi="es-AR"/>
        </w:rPr>
        <w:t xml:space="preserve">", de prioridad de paso. Que, la Avenida Velez Sarfield, es una avenida de doble mano de circulación, presenta un separador central y de carriles y aparece como de mayor porte en relación a la calle Almirante Brown / Salta.</w:t>
      </w:r>
    </w:p>
    <w:p>
      <w:pPr>
        <w:pStyle w:val="[Normal]"/>
        <w:spacing w:line="360" w:lineRule="auto"/>
        <w:ind w:firstLine="1134"/>
        <w:jc w:val="both"/>
        <w:rPr>
          <w:lang w:val="es-AR" w:eastAsia="es-AR" w:bidi="es-AR"/>
        </w:rPr>
      </w:pPr>
      <w:r>
        <w:rPr>
          <w:lang w:val="es-AR" w:eastAsia="es-AR" w:bidi="es-AR"/>
        </w:rPr>
        <w:t xml:space="preserve">Desde esta base fáctica, el Sr. juez de la instancia anterior para fallar del modo expuesto tuvo en cuenta que "... el acceso preferencial le correspondía a quien circulaba por la Avenida, es decir, al Sr. Zarate quien circula por una vía de mayor entidad...". Y además agregó en relación al demandado que "... si hubiera actuado de la manera manifestada debería haber advertido la presencia de la motocicleta que conducía el actor, quien contaba con prioridad de paso por circular por una avenida de doble mano - vía de mayor jerarquía ..." ( sic ).</w:t>
      </w:r>
    </w:p>
    <w:p>
      <w:pPr>
        <w:pStyle w:val="[Normal]"/>
        <w:spacing w:line="360" w:lineRule="auto"/>
        <w:ind w:firstLine="1134"/>
        <w:jc w:val="both"/>
        <w:rPr>
          <w:lang w:val="es-AR" w:eastAsia="es-AR" w:bidi="es-AR"/>
        </w:rPr>
      </w:pPr>
      <w:r>
        <w:rPr>
          <w:lang w:val="es-AR" w:eastAsia="es-AR" w:bidi="es-AR"/>
        </w:rPr>
        <w:t xml:space="preserve">Es decir que la sentencia resolvió en orden a que la prioridad de paso la detentaba la motocicleta que circulaba por una vía de mayor entidad  y consecuentemente la violación del deber de cuidado por parte del conductor demandado que intentó cruzar o ingresar a una vía de mayor jerarquía y tenía por ello la obligación de ceder el paso al vehículo que circulaba por la Avenida de doble mano.</w:t>
      </w:r>
    </w:p>
    <w:p>
      <w:pPr>
        <w:pStyle w:val="[Normal]"/>
        <w:spacing w:line="360" w:lineRule="auto"/>
        <w:ind w:firstLine="1134"/>
        <w:jc w:val="both"/>
        <w:rPr>
          <w:lang w:val="es-AR" w:eastAsia="es-AR" w:bidi="es-AR"/>
        </w:rPr>
      </w:pPr>
      <w:r>
        <w:rPr>
          <w:lang w:val="es-AR" w:eastAsia="es-AR" w:bidi="es-AR"/>
        </w:rPr>
        <w:t xml:space="preserve">Este Tribunal, ha tenido ya oportunidad de expedirse en punto a la cuestión suscitada relativo  a la prioridad de paso cuando el accidente ocurre - como en el caso - en la encrucijada entre una calle y una Avenida y quien goza de prioridad de paso.</w:t>
      </w:r>
    </w:p>
    <w:p>
      <w:pPr>
        <w:pStyle w:val="[Normal]"/>
        <w:spacing w:line="360" w:lineRule="auto"/>
        <w:ind w:firstLine="1134"/>
        <w:jc w:val="both"/>
        <w:rPr>
          <w:lang w:val="es-AR" w:eastAsia="es-AR" w:bidi="es-AR"/>
        </w:rPr>
      </w:pPr>
      <w:r>
        <w:rPr>
          <w:lang w:val="es-AR" w:eastAsia="es-AR" w:bidi="es-AR"/>
        </w:rPr>
        <w:t xml:space="preserve">Así, por la identidad de la cuestión con la aquí traída, en lo pertinente, he de transcribir. </w:t>
      </w:r>
    </w:p>
    <w:p>
      <w:pPr>
        <w:pStyle w:val="[Normal]"/>
        <w:spacing w:line="360" w:lineRule="auto"/>
        <w:ind w:firstLine="1134"/>
        <w:jc w:val="both"/>
        <w:rPr>
          <w:i/>
          <w:lang w:val="es-AR" w:eastAsia="es-AR" w:bidi="es-AR"/>
        </w:rPr>
      </w:pPr>
      <w:r>
        <w:rPr>
          <w:lang w:val="es-AR" w:eastAsia="es-AR" w:bidi="es-AR"/>
        </w:rPr>
        <w:t xml:space="preserve">"... </w:t>
      </w:r>
      <w:r>
        <w:rPr>
          <w:i/>
          <w:lang w:val="es-AR" w:eastAsia="es-AR" w:bidi="es-AR"/>
        </w:rPr>
        <w:t xml:space="preserve">Esta cuestión no es nueva, incluso ha tenido posiciones disimiles en la Suprema Corte provincial en distintas integraciones, a partir de que la Ley de Tránsito anterior a la hoy vigente, establecía como excepción a la prioridad de paso del que viene desde la derecha, el supuesto en que quien lo hace por la izquierda circula por las llamadas "arterias de mayor jerarquía" (art. 57  inc. 2 apartado "c" de la ley 11.430).</w:t>
      </w:r>
    </w:p>
    <w:p>
      <w:pPr>
        <w:pStyle w:val="[Normal]"/>
        <w:spacing w:line="360" w:lineRule="auto"/>
        <w:ind w:firstLine="1134"/>
        <w:jc w:val="both"/>
        <w:rPr>
          <w:i/>
          <w:lang w:val="es-AR" w:eastAsia="es-AR" w:bidi="es-AR"/>
        </w:rPr>
      </w:pPr>
      <w:r>
        <w:rPr>
          <w:i/>
          <w:lang w:val="es-AR" w:eastAsia="es-AR" w:bidi="es-AR"/>
        </w:rPr>
        <w:t xml:space="preserve">Pero esta situación que motivó aquellos pronunciamientos contradictorios, ha quedado zanjada a partir de la doctrina de la Suprema Corte de la Provincia de Bs. As., en el antecedente " Rearte, Walter Edgardo c/ Chere, Miguel Ángel y otro s/Daños y Perjuicios" (sent. de 8-IV-2015) C. 118.128, doctrina reiterada en C.  121.006, 18 de abril de 2018,  C. 120.890, 30 de mayo de 2018," Canales Riesco, María Lorena contra Gonnet, Jorge Néstor y otro. s/ Daños y perjuicios. Allí se dijo que  "...  la doctrina sentada por esta Corte en el precedente  "Rearte, Walter Edgardo c/ Chere, Miguel Ángel y otro s/ Daños y Perjuicios" (sent. de 8-IV-2015) en el cual se estableció que "la norma de aplicación al caso -refiriéndose al art. 41 de la ley 24.449- NO refiere como excepción de la prioridad de paso de quien se presenta en la bocacalle por la derecha a los vehículos que circulan por vías de mayor jerarquía, sino que limita la misma solamente a quienes lo hacen por una semiautopista" ( fs. 499, 2do. párr., el resaltado figura en el original).  Tal como se resolviera en el fallo impugnado, en el sub lite es de aplicación la Ley de Tránsito 24.449, que conforme la ley provincial 13.927 (B.O., 30-XII-2008) de adhesión a la norma nacional, sustituyó al art. 57 inc. 2 de la ley 11.430.  La misma, en su art. 41, establece:  PRIORIDADES. Todo conductor debe ceder siempre el paso en las encrucijadas al que cruza desde su derecha. Esta prioridad del que viene por la derecha es absoluta, y sólo se pierde ante: ...,   inc. d) Los vehículos que circulan por una semiautopista. Antes de ingresar o cruzarla se debe siempre detener la marcha...". "... Como se advierte y en tal sentido ha sido resuelto por el Tribunal a quo, a diferencia de lo dispuesto en el art. 57 inc. 2 apartado "c" de la ley 11.430 -según ley 13.604-, la norma de aplicación no refiere como excepción de la prioridad de paso de quien se presenta en la bocacalle por la derecha a los vehículos que circulan por vías de mayor jerarquía, sino que limita la misma solamente a quienes lo hacen por una semiautopista (conf. C. 118.128, "Rearte", sent. de 8-IV-2015).</w:t>
      </w:r>
    </w:p>
    <w:p>
      <w:pPr>
        <w:pStyle w:val="[Normal]"/>
        <w:spacing w:line="360" w:lineRule="auto"/>
        <w:ind w:firstLine="1134"/>
        <w:jc w:val="both"/>
        <w:rPr>
          <w:i/>
          <w:lang w:val="es-AR" w:eastAsia="es-AR" w:bidi="es-AR"/>
        </w:rPr>
      </w:pPr>
      <w:r>
        <w:rPr>
          <w:lang w:val="es-AR" w:eastAsia="es-AR" w:bidi="es-AR"/>
        </w:rPr>
        <w:t xml:space="preserve">Sigue diciendo el fallo</w:t>
      </w:r>
      <w:r>
        <w:rPr>
          <w:i/>
          <w:lang w:val="es-AR" w:eastAsia="es-AR" w:bidi="es-AR"/>
        </w:rPr>
        <w:t xml:space="preserve">: "... Pues bien, dicho agravio no permite conmover la decisión impugnada en cuanto juzgó que en el caso la prioridad de paso que -en función de la normativa aplicable- le correspondía al demandado, "... no aparece enervada por ninguna inconducta relevante que pudiera imputársele en tal sentido, como podría ser el haber arribado a la encrucijada a una velocidad tal que indujera a error al demandante acerca de su posibilidad de acometer el cruce sin causar la colisión" (fs. 474 vta.), concluyendo que la conducta del accionante "configuró un actuar culposo que resultó determinante en la causación del accidente (arts. 512, 901 y sgtes. y 1.109 CCiv), al punto de fracturar el nexo causal postulado entre los daños que padeciera y el riesgo inherente a la circulación del rodado mayor (art. 1.113 párr. 2do 2 da parte CCiv)" (fs. 474 vta. y 475)..." ( SCBA Ac. 120890 ).</w:t>
      </w:r>
    </w:p>
    <w:p>
      <w:pPr>
        <w:pStyle w:val="[Normal]"/>
        <w:spacing w:line="360" w:lineRule="auto"/>
        <w:ind w:firstLine="1134"/>
        <w:jc w:val="both"/>
        <w:rPr>
          <w:i/>
          <w:lang w:val="es-AR" w:eastAsia="es-AR" w:bidi="es-AR"/>
        </w:rPr>
      </w:pPr>
      <w:r>
        <w:rPr>
          <w:i/>
          <w:lang w:val="es-AR" w:eastAsia="es-AR" w:bidi="es-AR"/>
        </w:rPr>
        <w:t xml:space="preserve">Advierto en este caso que ha sido correctamente aplicada la regla de prioridad de paso, considerando las particulares características del evento, así como el contexto general de las normas del tránsito, y los preceptos específicos del Código Civil derogado aplicable en la especie en lo atinente a la responsabilidad por daños (conf. causas Ac. 63.493, "Casolari", sent. de 1-XII-1998; Ac. 91.330, "Silvestrini", sent. de 19-VII-2006; e.o.).</w:t>
      </w:r>
    </w:p>
    <w:p>
      <w:pPr>
        <w:pStyle w:val="[Normal]"/>
        <w:spacing w:line="360" w:lineRule="auto"/>
        <w:ind w:firstLine="1134"/>
        <w:jc w:val="both"/>
        <w:rPr>
          <w:i/>
          <w:lang w:val="es-AR" w:eastAsia="es-AR" w:bidi="es-AR"/>
        </w:rPr>
      </w:pPr>
      <w:r>
        <w:rPr>
          <w:i/>
          <w:lang w:val="es-AR" w:eastAsia="es-AR" w:bidi="es-AR"/>
        </w:rPr>
        <w:t xml:space="preserve">Entonces desde este piso de marcha, la doctrina emergente de los antecedentes de la Suprema Corte de nuestra Provincia se impone aquí por cuanto es sabido que -con particularidades- aquella es obligatoria para los jueces de grado..., Además de ello, cabe decir que en la oportunidad legislativa última, se  derogó la denominada " vía de mayor jerarquía " y se  limitó la excepción de la prioridad de paso en relación a la semi autopista. Es decir el Legislador claramente, no consideró la jurisprudencia que de modo uniforme y sostenido resultaba de aplicación y pudiendo legislar sobre el tema lo hizo del modo dicho. Por ello, hago mio lo expuesto por el Sr. Ministro de nuestra Suprema Corte Provincial, Dr. Luis E. Genoud que en la oportunidad de adherirse a la mayoría al efecto dijo: " ... Adhiero al voto del doctor Soria, sin perjuicio de no compartir la política legislativa de no incluir a las vías de mayor jerarquía como excepción a la regla de absoluta prioridad de paso de quien circula por la derecha (art. 41, ley 24.449)..." ( SCBA: Ac. 120.890 ).,..., No obstante lo expuesto, nuestra Excma. Corte Provincial, también sentó como doctrina legal que la prioridad de paso no es un bill de indemnidad, "...es cierto que dicha prioridad, que en principio es absoluta, no puede ser evaluada en forma autónoma sino por el contrario, imbricada en el contexto general de las normas de tránsito, analizando su vigencia en correspondencia con la simultánea existencia de otras infracciones y en correlación, también con los preceptos específicos del Código Civil que disciplinan la responsabilidad por daños (conf. doctr. causas Ac. 94.337, "Guilloti", sent. de 12-III-2008; C. 102.703, "Pellegrino", sent. de 18-III-2009; C. 101.536, "Iribarne", sent. de 9-VI-2010)..." (SCBA. C: 120890 )..."</w:t>
      </w:r>
    </w:p>
    <w:p>
      <w:pPr>
        <w:pStyle w:val="[Normal]"/>
        <w:spacing w:line="360" w:lineRule="auto"/>
        <w:ind w:firstLine="1134"/>
        <w:jc w:val="both"/>
        <w:rPr>
          <w:i/>
          <w:lang w:val="es-AR" w:eastAsia="es-AR" w:bidi="es-AR"/>
        </w:rPr>
      </w:pPr>
      <w:r>
        <w:rPr>
          <w:lang w:val="es-AR" w:eastAsia="es-AR" w:bidi="es-AR"/>
        </w:rPr>
        <w:t xml:space="preserve">Continúa diciendo</w:t>
      </w:r>
      <w:r>
        <w:rPr>
          <w:i/>
          <w:lang w:val="es-AR" w:eastAsia="es-AR" w:bidi="es-AR"/>
        </w:rPr>
        <w:t xml:space="preserve"> "... Entonces así, tenemos como doctrinas de la Corte Provincial por un lado que la Avenida no es una excepción legal a la prioridad de paso frente a quien se presenta por la derecha y por otro lado  que la prioridad de paso debe evaluarse en el contexto general de la Ley de Tránsito..., Este particular encuadramiento del tema armoniza con lo dispuesto por este Tribunal en la causa "Amato". En los actuados de referencia, la Dra. Graciela Scaraffía, en un voto excelentemente fundado, flexibilizó el alcance de la prioridad de paso de quien circula por la derecha cuando ingresa a una avenida y concluyó que: "... debe prevalecer la interpretación según la cual quien circula por una avenida lo hace asistido por la convicción de que, sin tener un bill de indemnidad, goza de preferencia de paso con relación a los automovilistas que pretenden acceder a ella desde una calle lateral, especialmente cuando la avenida es de doble mano (...) Así pues, el ejercicio legítimo de esa prioridad de paso únicamente será reputado tal cuando se encauce dentro del debido respeto al deber genérico de prevención y cuidado (art. 39 inc. b ley 24.449), en la velocidad precautoria que supone no sólo el dominio total del vehículo sino también no entorpecer la circulación (art. 50 de la ley citada) y el deber de evitar daños a las personas o cosas como consecuencia de la circulación (art. 64, segunda parte in fine de la ley citada, y art. 1710 inc. a del Código Civil y Comercial de la Nación) (...) En la práctica, ello supone aminorar la marcha y permanecer detenido hasta comenzar recién a trasvasar la avenida cuando el paso se encuentre expedito, y esa maniobra de interferencia en la fluidez vial de una calle de mayor importancia cualitativa y cuantitativa (por la densidad de la circulación, por la mayor velocidad permitida, por la expectativa que suscita en los restantes automovilistas) pueda ejecutarse sin riesgo para terceros" (Cámara de Apelaciones en lo Civil y Comercial de Pergamino, "causa N° 3413-18", sentencia de fecha 19 de Marzo de 2019)...".</w:t>
      </w:r>
    </w:p>
    <w:p>
      <w:pPr>
        <w:pStyle w:val="[Normal]"/>
        <w:spacing w:line="360" w:lineRule="auto"/>
        <w:ind w:firstLine="1134"/>
        <w:jc w:val="both"/>
        <w:rPr>
          <w:i/>
          <w:lang w:val="es-AR" w:eastAsia="es-AR" w:bidi="es-AR"/>
        </w:rPr>
      </w:pPr>
      <w:r>
        <w:rPr>
          <w:lang w:val="es-AR" w:eastAsia="es-AR" w:bidi="es-AR"/>
        </w:rPr>
        <w:t xml:space="preserve">Prosigue la sentencia</w:t>
      </w:r>
      <w:r>
        <w:rPr>
          <w:i/>
          <w:lang w:val="es-AR" w:eastAsia="es-AR" w:bidi="es-AR"/>
        </w:rPr>
        <w:t xml:space="preserve"> " ... Así teniendo en cuenta las sendas doctrinas he de examinar las conductas de los partícipes y para ello, he de seguir, en lo que estimo pertinente, lo expuesto por este Tribunal en autos " Prates, Patricia Beatriz c/ La Caja de Seguros S.A. y Otro/a Daños y Perjuicios ”, causa n° 2679-16, 13/9/ 2016) que entiendo aplicable al caso..., Alli se dijo que"... cabe tener presente que en ciudades del interior de la Provincia, como es el caso de Pergamino y Colón, la experiencia demuestra que la mayoría de los ciudadanos actúa con el convencimiento de que la prioridad recae en quien circula por una avenida por ser de mayores dimensiones, generalmente de doble mano, de tránsito más intenso y más rápido, por lo que tiene primacía la creencia social de que quien debe frenar antes de acometer un cruce es quien accede desde una calle lateral y de menor “jerarquía”. Incluso la propia Corte había reconocido anteriormente que tal creencia social no es infundada, sino que reconoce su sustento en la anterior normativa de tránsito que durante muchos años asignó prioridad de paso también a las avenidas y vías de mayor jerarquía (fallo SCBA, “Salinas”, del 08/06/2005, voto del Dr. Roncoroni )..." "... En conclusión, debe prevalecer la interpretación según la cual quien circula por una avenida lo hace asistido por la convicción de que, sin tener un bill de indemnidad, goza de preferencia de paso con relación a los automovilistas que pretenden acceder a ella desde una calle lateral, especialmente cuando la avenida es de doble mano. Así pues, el ejercicio legítimo de esa prioridad de paso únicamente será reputado tal cuando se encauce dentro del debido respeto al deber genérico de prevención y cuidado (art. 39 inc. b ley 24.449), en la velocidad precautoria que supone no sólo el dominio total del vehículo sino también no entorpecer la circulación ( art. 50 de la ley citada) y el deber de evitar daños a las personas o cosas como consecuencia de la circulación (art. 64, segunda parte in fine de la ley citada, y art. 1710 inc. a del Código Civil y Comercial de la Nación)...".</w:t>
      </w:r>
    </w:p>
    <w:p>
      <w:pPr>
        <w:pStyle w:val="[Normal]"/>
        <w:spacing w:line="360" w:lineRule="auto"/>
        <w:ind w:firstLine="1134"/>
        <w:jc w:val="both"/>
        <w:rPr>
          <w:i/>
          <w:lang w:val="es-AR" w:eastAsia="es-AR" w:bidi="es-AR"/>
        </w:rPr>
      </w:pPr>
      <w:r>
        <w:rPr>
          <w:i/>
          <w:lang w:val="es-AR" w:eastAsia="es-AR" w:bidi="es-AR"/>
        </w:rPr>
        <w:t xml:space="preserve">"... Así las cosas desde esta base, se advierte que ambos conductores violaron disposiciones legales y a fin de resolver el entuerto   debo proceder, por aplicación del  instituto de la apelación implícita también llamada adhesiva, a atender las cuestiones que la parte gananciosa en primera instancia, planteara al momento de responder la demanda y reiterados en la expresión de agravios. "...Reafirmando esta posición, tiene dicho la Suprema Corte Provincial que “las alegaciones o defensas propuestas en primera instancia por la parte vencedora que no ha apelado por haberle sido favorable el resultado del pleito, quedan sometidas al tribunal de alzada en el supuesto que en esa instancia sea revocado el pronunciamiento”. Por tal, como se ha dicho “cuando la sentencia favorable a una de las partes es apelada por la otra, todas las cuestiones que han sido materia de litigio pasan al tribunal ad quem con la misma extensión y con la misma plenitud con la que fue sometida al inferior ..." (LLBA, 199-613; ED, 219-274)..." </w:t>
      </w:r>
    </w:p>
    <w:p>
      <w:pPr>
        <w:pStyle w:val="[Normal]"/>
        <w:spacing w:line="360" w:lineRule="auto"/>
        <w:ind w:firstLine="1134"/>
        <w:jc w:val="both"/>
        <w:rPr>
          <w:lang w:val="es-AR" w:eastAsia="es-AR" w:bidi="es-AR"/>
        </w:rPr>
      </w:pPr>
      <w:r>
        <w:rPr>
          <w:i/>
          <w:lang w:val="es-AR" w:eastAsia="es-AR" w:bidi="es-AR"/>
        </w:rPr>
        <w:t xml:space="preserve">"... Ello dado que, como se viene sosteniendo desde esta Cámara en la causa N° 3898-20: " ... En lo atinente al emplazamiento normativo de la cuestión litigiosa conforme inveterada jurisprudencia -receptada en el art.1769 del CCCN-, los siniestros viales se rigen por las reglas de la responsabilidad objetiva contemplada en el art. 1113 del Código Civil. Esta norma impone al dueño o guardián del automotor demandado, la acreditación de la ruptura o interrupción parcial o total del nexo causal (arts.901, 902 y 906 del Cód. Civil; esta Sala, causas “Lucas” y “Alvarez”, LLBA 1996-791; n° 48.042, “De la Canal”, y n° 48.043, “Navarro”, sentencia única del 28/11/06; n° 54.831, “Liberti”, sentencia del 12/7/13). Al respecto el Superior Tribunal Provincial ha resuelto que “quien acciona en función del art.1113, 2° apartado, 2° párrafo del C.C., debe probar: a) el daño; b) la relación causal; c) el riesgo de la cosa; d) el carácter de dueño o guardián de los demandados</w:t>
      </w:r>
      <w:r>
        <w:rPr>
          <w:lang w:val="es-AR" w:eastAsia="es-AR" w:bidi="es-AR"/>
        </w:rPr>
        <w:t xml:space="preserve">” </w:t>
      </w:r>
      <w:r>
        <w:rPr>
          <w:i/>
          <w:lang w:val="es-AR" w:eastAsia="es-AR" w:bidi="es-AR"/>
        </w:rPr>
        <w:t xml:space="preserve">(S.C.B.A. Ac.85.775, “Calderucho”, del 24/3/04; Ac.93.337, “Suñe de Ares”, del 6/9/06; C 101790, “Alegre”, del 29/4/09, entre otros; cf. esta Sala, causa n° 63.024, 30/10/2018, “Bustamante ...”.(CAAzul :  Ledesma Dante Ariel c / Diestrich Agustín  Héctor y otra s / Daños y Perjuicios </w:t>
      </w:r>
      <w:r>
        <w:rPr>
          <w:lang w:val="es-AR" w:eastAsia="es-AR" w:bidi="es-AR"/>
        </w:rPr>
        <w:t xml:space="preserve"> )..."   ( </w:t>
      </w:r>
      <w:r>
        <w:rPr>
          <w:b/>
          <w:lang w:val="es-AR" w:eastAsia="es-AR" w:bidi="es-AR"/>
        </w:rPr>
        <w:t xml:space="preserve">CAP</w:t>
      </w:r>
      <w:r>
        <w:rPr>
          <w:lang w:val="es-AR" w:eastAsia="es-AR" w:bidi="es-AR"/>
        </w:rPr>
        <w:t xml:space="preserve">: autos:  " Membriani  María  Jimena  c/ Beron  Juan  Domingo  y  otros s/ Daños y  Perjuicios ", expediente N° 3608-19 ).</w:t>
      </w:r>
    </w:p>
    <w:p>
      <w:pPr>
        <w:pStyle w:val="[Normal]"/>
        <w:spacing w:line="360" w:lineRule="auto"/>
        <w:ind w:firstLine="1134"/>
        <w:jc w:val="both"/>
        <w:rPr>
          <w:lang w:val="es-AR" w:eastAsia="es-AR" w:bidi="es-AR"/>
        </w:rPr>
      </w:pPr>
      <w:r>
        <w:rPr>
          <w:lang w:val="es-AR" w:eastAsia="es-AR" w:bidi="es-AR"/>
        </w:rPr>
        <w:t xml:space="preserve">Sentado ello, podemos decir que no hay discusión en el caso que se hallan acreditados por el actor los supuestos de la responsabilidad objetiva y por ello la parte demandada para exonerarse de responsabilidad debe demostrar la culpa de la víctima o de un tercero por quien no responde (art. 1731 C.C.C. cc;. art. 375 del CPC.).</w:t>
      </w:r>
    </w:p>
    <w:p>
      <w:pPr>
        <w:pStyle w:val="[Normal]"/>
        <w:spacing w:line="360" w:lineRule="auto"/>
        <w:ind w:firstLine="1134"/>
        <w:jc w:val="both"/>
        <w:rPr>
          <w:lang w:val="es-AR" w:eastAsia="es-AR" w:bidi="es-AR"/>
        </w:rPr>
      </w:pPr>
      <w:r>
        <w:rPr>
          <w:lang w:val="es-AR" w:eastAsia="es-AR" w:bidi="es-AR"/>
        </w:rPr>
        <w:t xml:space="preserve">Y así, la demandada en su contestación, endilgó a la contraria  la exclusiva responsabilidad en el hecho, no solo por violentar la prioridad de paso, sino que el conductor de la moto circulaba de manera negligente, sin tener el pleno dominio de la misma y que su impericia no dejó concluir el avanzado cruce, iniciado con suficiente antelación por parte del Sr. Sirito, y que, a todo evento, le había hecho perder la pretensa prioridad alegada.</w:t>
      </w:r>
    </w:p>
    <w:p>
      <w:pPr>
        <w:pStyle w:val="[Normal]"/>
        <w:spacing w:line="360" w:lineRule="auto"/>
        <w:ind w:firstLine="1134"/>
        <w:jc w:val="both"/>
        <w:rPr>
          <w:lang w:val="es-AR" w:eastAsia="es-AR" w:bidi="es-AR"/>
        </w:rPr>
      </w:pPr>
      <w:r>
        <w:rPr>
          <w:lang w:val="es-AR" w:eastAsia="es-AR" w:bidi="es-AR"/>
        </w:rPr>
        <w:t xml:space="preserve">En relación a ésta última</w:t>
      </w:r>
      <w:r>
        <w:rPr>
          <w:b/>
          <w:lang w:val="es-AR" w:eastAsia="es-AR" w:bidi="es-AR"/>
        </w:rPr>
        <w:t xml:space="preserve"> </w:t>
      </w:r>
      <w:r>
        <w:rPr>
          <w:lang w:val="es-AR" w:eastAsia="es-AR" w:bidi="es-AR"/>
        </w:rPr>
        <w:t xml:space="preserve">( prioridad de paso ), tal como se viene diciendo desde aquí en los antecedentes de mención, la vía de mayor jerarquía como es una Avenida se impone sobre quien precede desde una calle desde la derecha. Y a mayor abundamiento, sabido es que aún en los casos de cruce entre calles, si bien la prioridad de paso la detenta quien se presenta desde la derecha, ha sido uniforme, sostenida, pacífica la jurisprudencia que considera que la misma no es un " bill de indemnidad " ( cfr. en tal sentido: SCBA LP C 121001 S 21/02/2018, CC0203 LP 116256 RSD-218-16 S 27/12/2016, CC0002 LM lm 3193 2013 46 S 16/06/2016, SCBA LP Ac 81623 S 08/11/2006 entre otros tantos ).</w:t>
      </w:r>
    </w:p>
    <w:p>
      <w:pPr>
        <w:pStyle w:val="[Normal]"/>
        <w:spacing w:line="360" w:lineRule="auto"/>
        <w:ind w:firstLine="1134"/>
        <w:jc w:val="both"/>
        <w:rPr>
          <w:lang w:val="es-AR" w:eastAsia="es-AR" w:bidi="es-AR"/>
        </w:rPr>
      </w:pPr>
      <w:r>
        <w:rPr>
          <w:lang w:val="es-AR" w:eastAsia="es-AR" w:bidi="es-AR"/>
        </w:rPr>
        <w:t xml:space="preserve">Por lo que,  el agravio en tal sentido no debe ser recibido.</w:t>
      </w:r>
    </w:p>
    <w:p>
      <w:pPr>
        <w:pStyle w:val="[Normal]"/>
        <w:spacing w:line="360" w:lineRule="auto"/>
        <w:ind w:firstLine="1134"/>
        <w:jc w:val="both"/>
        <w:rPr>
          <w:lang w:val="es-AR" w:eastAsia="es-AR" w:bidi="es-AR"/>
        </w:rPr>
      </w:pPr>
      <w:r>
        <w:rPr>
          <w:lang w:val="es-AR" w:eastAsia="es-AR" w:bidi="es-AR"/>
        </w:rPr>
        <w:t xml:space="preserve">Llegado a este punto del desarrollo, hemos de mirar la conducta de las partes y los aportes causales en la producción del accidente y así  tenemos por un lado  por parte del demandado la violación del principio precautorio al cruzar una Avenida sin la precaución debida, al no tener en cuenta las circunstancias de lugar y así  contribuyó causalmente al acaecimiento del daño. ( Arts. 39, 40 incs. a y j; y 48 inc. v) Ley de Tránsito  Nacional Nro. 24.449, por adhesión art. 1 Ley 13.927, "Nuevo Código de Tránsito de la Pcia. de Buenos Aires).</w:t>
      </w:r>
    </w:p>
    <w:p>
      <w:pPr>
        <w:pStyle w:val="[Normal]"/>
        <w:spacing w:line="360" w:lineRule="auto"/>
        <w:ind w:firstLine="1134"/>
        <w:jc w:val="both"/>
        <w:rPr>
          <w:lang w:val="es-AR" w:eastAsia="es-AR" w:bidi="es-AR"/>
        </w:rPr>
      </w:pPr>
      <w:r>
        <w:rPr>
          <w:lang w:val="es-AR" w:eastAsia="es-AR" w:bidi="es-AR"/>
        </w:rPr>
        <w:t xml:space="preserve">En efecto,  el ingreso a una Avenida impone de por sí la toma de los mayores recaudos, ya que  iniciar un cruce a  una vía de mayor jerarquía, resulta en si mismo riesgosa por cuanto la densidad en el tránsito vehicular,   que es un hecho notorio,  nos debe representar necesariamente la concreta posibilidad del encuentro con otro vehículo, como de hecho aconteció. </w:t>
      </w:r>
    </w:p>
    <w:p>
      <w:pPr>
        <w:pStyle w:val="[Normal]"/>
        <w:spacing w:line="360" w:lineRule="auto"/>
        <w:ind w:firstLine="1134"/>
        <w:jc w:val="both"/>
        <w:rPr>
          <w:lang w:val="es-AR" w:eastAsia="es-AR" w:bidi="es-AR"/>
        </w:rPr>
      </w:pPr>
      <w:r>
        <w:rPr>
          <w:lang w:val="es-AR" w:eastAsia="es-AR" w:bidi="es-AR"/>
        </w:rPr>
        <w:t xml:space="preserve">Por el otro lado en relación al actor de autos, primeramente  ha quedado acreditado  que previo al impacto intentó una maniobra de esquive hacia la derecha ( pericial mecánica del 05 / 11 / 19 y ampliación del 04 / 12 / 19 ), lo</w:t>
      </w:r>
      <w:r>
        <w:rPr>
          <w:b/>
          <w:lang w:val="es-AR" w:eastAsia="es-AR" w:bidi="es-AR"/>
        </w:rPr>
        <w:t xml:space="preserve"> </w:t>
      </w:r>
      <w:r>
        <w:rPr>
          <w:lang w:val="es-AR" w:eastAsia="es-AR" w:bidi="es-AR"/>
        </w:rPr>
        <w:t xml:space="preserve">que evidencia además que en la oportunidad no conducía a una velocidad precautoria que es aquella que le hubiera permitido tener   siempre  el dominio de su rodado ( art. 50 de la ley de Tránsito ) y de ello deriva otra violación que es la surgente del art. 39 inc. b de la misma ley de tránsito que impone al conductor circular con cuidado y previsión teniendo siempre el dominio efectivo del vehículo.</w:t>
      </w:r>
    </w:p>
    <w:p>
      <w:pPr>
        <w:pStyle w:val="[Normal]"/>
        <w:spacing w:line="360" w:lineRule="auto"/>
        <w:ind w:firstLine="1134"/>
        <w:jc w:val="both"/>
        <w:rPr>
          <w:lang w:val="es-AR" w:eastAsia="es-AR" w:bidi="es-AR"/>
        </w:rPr>
      </w:pPr>
      <w:r>
        <w:rPr>
          <w:lang w:val="es-AR" w:eastAsia="es-AR" w:bidi="es-AR"/>
        </w:rPr>
        <w:t xml:space="preserve">Ha de adunarse a ello, lo expuesto en el agravio y en el responde de la demanda, referido al lugar en que se produce el siniestro, esto es la motocicleta impacta al vehículo cuando éste había traspasado más de la mitad de la mano de circulación sentido sur / norte, lo que evidencia que el actor vio o debió ver al vehículo en todo momento y al no poder frenar da cuenta de las violaciones a la ley de tránsito antes señaladas.</w:t>
      </w:r>
    </w:p>
    <w:p>
      <w:pPr>
        <w:pStyle w:val="[Normal]"/>
        <w:spacing w:line="360" w:lineRule="auto"/>
        <w:ind w:firstLine="1134"/>
        <w:jc w:val="both"/>
        <w:rPr>
          <w:lang w:val="es-AR" w:eastAsia="es-AR" w:bidi="es-AR"/>
        </w:rPr>
      </w:pPr>
      <w:r>
        <w:rPr>
          <w:lang w:val="es-AR" w:eastAsia="es-AR" w:bidi="es-AR"/>
        </w:rPr>
        <w:t xml:space="preserve">Por ello entiendo que la responsabilidad debe ser distribuida en  un cincuenta  por ciento  a cada parte  ( 50 %) que ha de ser extendida a la Citada en Garantía en los términos del contrato celebrado con su asegurado (arts. 109 y 118 de la Ley de Seguros). </w:t>
      </w:r>
    </w:p>
    <w:p>
      <w:pPr>
        <w:pStyle w:val="[Normal]"/>
        <w:spacing w:line="360" w:lineRule="auto"/>
        <w:ind w:firstLine="1134"/>
        <w:jc w:val="both"/>
        <w:rPr>
          <w:lang w:val="es-AR" w:eastAsia="es-AR" w:bidi="es-AR"/>
        </w:rPr>
      </w:pPr>
      <w:r>
        <w:rPr>
          <w:lang w:val="es-AR" w:eastAsia="es-AR" w:bidi="es-AR"/>
        </w:rPr>
        <w:t xml:space="preserve">Determinada</w:t>
      </w:r>
      <w:r>
        <w:rPr>
          <w:b/>
          <w:lang w:val="es-AR" w:eastAsia="es-AR" w:bidi="es-AR"/>
        </w:rPr>
        <w:t xml:space="preserve"> </w:t>
      </w:r>
      <w:r>
        <w:rPr>
          <w:lang w:val="es-AR" w:eastAsia="es-AR" w:bidi="es-AR"/>
        </w:rPr>
        <w:t xml:space="preserve">así las responsabilidades y la fuente de obligación por la que se debe responder cabe adentrarse a los restantes agravios de las partes quienes se duelen de la cuantificación de los rubros, tanto por bajos como por altos, como la desestimación.</w:t>
      </w:r>
    </w:p>
    <w:p>
      <w:pPr>
        <w:pStyle w:val="[Normal]"/>
        <w:spacing w:line="360" w:lineRule="auto"/>
        <w:ind w:firstLine="1134"/>
        <w:jc w:val="both"/>
        <w:rPr>
          <w:lang w:val="es-AR" w:eastAsia="es-AR" w:bidi="es-AR"/>
        </w:rPr>
      </w:pPr>
      <w:r>
        <w:rPr>
          <w:lang w:val="es-AR" w:eastAsia="es-AR" w:bidi="es-AR"/>
        </w:rPr>
        <w:t xml:space="preserve">El Sr. juez de la instancia anterior, valoró la prueba pericial médica que determinó que las lesiones sufridas por el actor en su rodilla izquierda, lesión menisco interno, ligamento colateral izquierdo, esguince de rodilla, alcanzan a una lesión incapacitante del 20 % y resalta que la misma no fue impugnada por las partes. Y para cuantificar la incapacidad el a-quo tuvo en cuenta la edad de la víctima, el salario mínimo vital y móvil ( atento la falta de prueba de ingresos ), períodos de los ingresos, tasa pura de descuento y el grado de incapacidad, lo determina en la suma de $ 972.616,91 a lo que adita el 10 % por las restantes aptitudes vitales y genéricas.</w:t>
      </w:r>
    </w:p>
    <w:p>
      <w:pPr>
        <w:pStyle w:val="[Normal]"/>
        <w:spacing w:line="360" w:lineRule="auto"/>
        <w:ind w:firstLine="1134"/>
        <w:jc w:val="both"/>
        <w:rPr>
          <w:lang w:val="es-AR" w:eastAsia="es-AR" w:bidi="es-AR"/>
        </w:rPr>
      </w:pPr>
      <w:r>
        <w:rPr>
          <w:lang w:val="es-AR" w:eastAsia="es-AR" w:bidi="es-AR"/>
        </w:rPr>
        <w:t xml:space="preserve">El agravio limitado a  reducir  la lesión sufrida  a un mero esguince de rodilla y que ello no incide radicalmente en las tareas que como mensajero desarrolla el actor,   no alcanza por cuanto más allá de la calificación de "</w:t>
      </w:r>
      <w:r>
        <w:rPr>
          <w:i/>
          <w:lang w:val="es-AR" w:eastAsia="es-AR" w:bidi="es-AR"/>
        </w:rPr>
        <w:t xml:space="preserve"> infima lesión</w:t>
      </w:r>
      <w:r>
        <w:rPr>
          <w:lang w:val="es-AR" w:eastAsia="es-AR" w:bidi="es-AR"/>
        </w:rPr>
        <w:t xml:space="preserve">", importa desatender lo peritado por el Experto, quien constató una incapacidad del 20% y ello como dijera el juzgador primero ha quedado firme y no fue impugnado.</w:t>
      </w:r>
    </w:p>
    <w:p>
      <w:pPr>
        <w:pStyle w:val="[Normal]"/>
        <w:spacing w:line="360" w:lineRule="auto"/>
        <w:ind w:firstLine="1134"/>
        <w:jc w:val="both"/>
        <w:rPr>
          <w:lang w:val="es-AR" w:eastAsia="es-AR" w:bidi="es-AR"/>
        </w:rPr>
      </w:pPr>
      <w:r>
        <w:rPr>
          <w:lang w:val="es-AR" w:eastAsia="es-AR" w:bidi="es-AR"/>
        </w:rPr>
        <w:t xml:space="preserve">Por otro lado lo alegado en punto a la falta de fundamentación del a-quo para alcanzar tal numeral y considerarlo  una mera ecuación económica, no alcanza a conmover  lo resuelto.</w:t>
      </w:r>
    </w:p>
    <w:p>
      <w:pPr>
        <w:pStyle w:val="[Normal]"/>
        <w:spacing w:line="360" w:lineRule="auto"/>
        <w:ind w:firstLine="1134"/>
        <w:jc w:val="both"/>
        <w:rPr>
          <w:lang w:val="es-AR" w:eastAsia="es-AR" w:bidi="es-AR"/>
        </w:rPr>
      </w:pPr>
      <w:r>
        <w:rPr>
          <w:lang w:val="es-AR" w:eastAsia="es-AR" w:bidi="es-AR"/>
        </w:rPr>
        <w:t xml:space="preserve">En efecto  la ponderación queda sujeta al arbitrio judicial aún cuando "... no libera al juzgador de poner en sentencia las circunstancias que ha tenido presente para fijar su determinación... " ( cfr. Fenochietto: Cód. C. y C. com. p. 201 ). Entonces tenemos por una lado la facultad judicial de determinar el monto por expreso mandato legal  y al hacerlo ha de hacer  uso de las facultades del art. 163 inc. 6 del CPC. y luego la ponderación del juez tanto del escrito de inicio como de la prueba valorada para llegar al numeral arribado. </w:t>
      </w:r>
    </w:p>
    <w:p>
      <w:pPr>
        <w:pStyle w:val="[Normal]"/>
        <w:spacing w:line="360" w:lineRule="auto"/>
        <w:ind w:firstLine="1134"/>
        <w:jc w:val="both"/>
        <w:rPr>
          <w:lang w:val="es-AR" w:eastAsia="es-AR" w:bidi="es-AR"/>
        </w:rPr>
      </w:pPr>
      <w:r>
        <w:rPr>
          <w:lang w:val="es-AR" w:eastAsia="es-AR" w:bidi="es-AR"/>
        </w:rPr>
        <w:t xml:space="preserve">Por ello, el apelante debe demostrar lo más razonablemente posible los motivos de lo impropio del monto y ello no sucedió  para lograr la finalidad pretendida. </w:t>
      </w:r>
    </w:p>
    <w:p>
      <w:pPr>
        <w:pStyle w:val="[Normal]"/>
        <w:spacing w:line="360" w:lineRule="auto"/>
        <w:ind w:firstLine="1134"/>
        <w:jc w:val="both"/>
        <w:rPr>
          <w:lang w:val="es-AR" w:eastAsia="es-AR" w:bidi="es-AR"/>
        </w:rPr>
      </w:pPr>
      <w:r>
        <w:rPr>
          <w:lang w:val="es-AR" w:eastAsia="es-AR" w:bidi="es-AR"/>
        </w:rPr>
        <w:t xml:space="preserve">Por otro lado, la aplicación de formulas  no importa una restricción a la discrecionalidad judicial, sino la búsqueda de evitar una arbitrariedad y no debe perderse de vista que: “... En caso de lesiones o incapacidad permanente, física o psíquica, total o parcial, la indemnización debe ser evaluada mediante la determinación de un capital, de tal modo que sus rentas cubran la  disminución de la aptitud del damnificado para realizar actividades productivas o económicamente valorables, y que se agote al término del plazo en que razonablemente pudo continuar realizando tales actividades... En el supuesto de incapacidad permanente se debe indemnizar el daño aunque el damnificado continúe ejerciendo una tarea remunerada..." ( art 1746 CCyC ).</w:t>
      </w:r>
    </w:p>
    <w:p>
      <w:pPr>
        <w:pStyle w:val="[Normal]"/>
        <w:spacing w:line="360" w:lineRule="auto"/>
        <w:ind w:firstLine="1134"/>
        <w:jc w:val="both"/>
        <w:rPr>
          <w:lang w:val="es-AR" w:eastAsia="es-AR" w:bidi="es-AR"/>
        </w:rPr>
      </w:pPr>
      <w:r>
        <w:rPr>
          <w:lang w:val="es-AR" w:eastAsia="es-AR" w:bidi="es-AR"/>
        </w:rPr>
        <w:t xml:space="preserve">La norma busca que  ese capital determinado en sentencia, produzca  una  renta que  cubra la disminución de las aptitudes ( económicas, productivas, sociales )  hasta el  fin de las actividades que realiza la víctima  y las pautas objetivas tenidas en cuenta por el juzgador y en mayor medida el grado de incapacidad sumado al largo período de tiempo hasta el fin de aquellas, a mi ver dan base suficiente para confirmar el rubro.</w:t>
      </w:r>
    </w:p>
    <w:p>
      <w:pPr>
        <w:pStyle w:val="[Normal]"/>
        <w:spacing w:line="360" w:lineRule="auto"/>
        <w:ind w:firstLine="1134"/>
        <w:jc w:val="both"/>
        <w:rPr>
          <w:lang w:val="es-AR" w:eastAsia="es-AR" w:bidi="es-AR"/>
        </w:rPr>
      </w:pPr>
      <w:r>
        <w:rPr>
          <w:lang w:val="es-AR" w:eastAsia="es-AR" w:bidi="es-AR"/>
        </w:rPr>
        <w:t xml:space="preserve">Esta Alzada, ha tenido oportunidad de expedirse en tal sentido  diciendo:  "...  que no cabe descalificar en abstracto la aplicación de fórmulas actuariales como procedimiento válido dentro del marco de posibilidades metodológicas que ofrecen los arts. 3 y 1746 del CCyC, y art. 165 del CPCCBA), todo ello sin perjuicio de que puedan ser ampliamente revisadas en instancia recursiva. A partir de una interpretación armónica y sistemática de los arts. 3 y 1746 del Código Civil y Comercial de la Nación cabe inferir que las fórmulas actuariales pueden erigirse como un método válido para justificar racionalmente el concepto de renta variable..." ( CAP: C: 3667 ).</w:t>
      </w:r>
    </w:p>
    <w:p>
      <w:pPr>
        <w:pStyle w:val="[Normal]"/>
        <w:spacing w:line="360" w:lineRule="auto"/>
        <w:ind w:firstLine="1134"/>
        <w:jc w:val="both"/>
        <w:rPr>
          <w:lang w:val="es-AR" w:eastAsia="es-AR" w:bidi="es-AR"/>
        </w:rPr>
      </w:pPr>
      <w:r>
        <w:rPr>
          <w:lang w:val="es-AR" w:eastAsia="es-AR" w:bidi="es-AR"/>
        </w:rPr>
        <w:t xml:space="preserve">En relación al </w:t>
      </w:r>
      <w:r>
        <w:rPr>
          <w:b/>
          <w:lang w:val="es-AR" w:eastAsia="es-AR" w:bidi="es-AR"/>
        </w:rPr>
        <w:t xml:space="preserve">daño moral</w:t>
      </w:r>
      <w:r>
        <w:rPr>
          <w:lang w:val="es-AR" w:eastAsia="es-AR" w:bidi="es-AR"/>
        </w:rPr>
        <w:t xml:space="preserve">  - impugnado por ambas partes -  no es redundante transcribir lo dicho por  Nuestro Máximo Tribunal Provincial  en relación a que  "... Es sabido, de la dificultad de los jueces para cuantificar el daño moral y que  "... La determinación de las sumas inemnizatorias en concepto de daño moral no está sujeta a reglas fijas. Su reconocimiento y cuantía depende -en principio- del arbitrio judicial para lo cual basta la certeza de que ha existido, sin que sea necesaria otra precisión; constituyendo una típica cuestión de hecho, privativa de los jueces de la órbita ordinaria que no es revisable en la instancia extraordinaria, salvo que se denuncie y demuestre el absurdo..." (  SCBA LP C 108654 S 26/10/2016 SCBA C 110722 SCBA LP C 111627 entre tantas otras ). </w:t>
      </w:r>
    </w:p>
    <w:p>
      <w:pPr>
        <w:pStyle w:val="[Normal]"/>
        <w:spacing w:line="360" w:lineRule="auto"/>
        <w:ind w:firstLine="1134"/>
        <w:jc w:val="both"/>
        <w:rPr>
          <w:lang w:val="es-AR" w:eastAsia="es-AR" w:bidi="es-AR"/>
        </w:rPr>
      </w:pPr>
      <w:r>
        <w:rPr>
          <w:lang w:val="es-AR" w:eastAsia="es-AR" w:bidi="es-AR"/>
        </w:rPr>
        <w:t xml:space="preserve">Y la  tarea de compensar padecimientos sufridos por terceros  resulta dificultosa y ello es notorio y visible y tan es así que se  ha dicho "... la indemnización dineraria se presenta como una compensación indirecta y siempre imperfecta, pues ninguna suma subsanará los padecimientos de índole personalísimos ..." ( cfr.: "  Derecho de Daños, Jurisprudencia comentada de la Cámara y Comercial de Pergamino ", Graciela Scaraffia, Adrián Morea y Oscar Aranda )..." ( CAP. C: 4097 ).</w:t>
      </w:r>
    </w:p>
    <w:p>
      <w:pPr>
        <w:pStyle w:val="[Normal]"/>
        <w:spacing w:line="360" w:lineRule="auto"/>
        <w:ind w:firstLine="1134"/>
        <w:jc w:val="both"/>
        <w:rPr>
          <w:lang w:val="es-AR" w:eastAsia="es-AR" w:bidi="es-AR"/>
        </w:rPr>
      </w:pPr>
      <w:r>
        <w:rPr>
          <w:lang w:val="es-AR" w:eastAsia="es-AR" w:bidi="es-AR"/>
        </w:rPr>
        <w:t xml:space="preserve">Dicho ello, el Sr. juez a- quo hizo una ponderación de los padecimientos que tuvo en cuenta para determinar la suma y los agravios de ambas partes, uno por poco y otro por mucho, no constituyen más que una mera disconformidad sin evidenciar que lo sentenciado importe un yerro interpretativo o valorativo para modificar lo cuantificado.</w:t>
      </w:r>
    </w:p>
    <w:p>
      <w:pPr>
        <w:pStyle w:val="[Normal]"/>
        <w:spacing w:line="360" w:lineRule="auto"/>
        <w:ind w:firstLine="1134"/>
        <w:jc w:val="both"/>
        <w:rPr>
          <w:lang w:val="es-AR" w:eastAsia="es-AR" w:bidi="es-AR"/>
        </w:rPr>
      </w:pPr>
      <w:r>
        <w:rPr>
          <w:lang w:val="es-AR" w:eastAsia="es-AR" w:bidi="es-AR"/>
        </w:rPr>
        <w:t xml:space="preserve">Así, el actor no ha acreditado por vía idónea lo traído en su queja en relación a " </w:t>
      </w:r>
      <w:r>
        <w:rPr>
          <w:i/>
          <w:lang w:val="es-AR" w:eastAsia="es-AR" w:bidi="es-AR"/>
        </w:rPr>
        <w:t xml:space="preserve">los meses de tratamiento  médico</w:t>
      </w:r>
      <w:r>
        <w:rPr>
          <w:lang w:val="es-AR" w:eastAsia="es-AR" w:bidi="es-AR"/>
        </w:rPr>
        <w:t xml:space="preserve"> ", o la " </w:t>
      </w:r>
      <w:r>
        <w:rPr>
          <w:i/>
          <w:lang w:val="es-AR" w:eastAsia="es-AR" w:bidi="es-AR"/>
        </w:rPr>
        <w:t xml:space="preserve">incertidumbre sobre una intervención quirúrgica</w:t>
      </w:r>
      <w:r>
        <w:rPr>
          <w:lang w:val="es-AR" w:eastAsia="es-AR" w:bidi="es-AR"/>
        </w:rPr>
        <w:t xml:space="preserve"> ", por cuanto, contrariamente, el Sr. perito Médico en lo pertinente dijo: "...  De todos los elementos obrantes en autos,  del examen físico y de los exámenes complementarios llevados a cabo en el actor se demuestra que presenta secuelas incapacitantes en su rodilla izquierda como consecuencia del accidente invocado en autos. El actor  presenta secuelas de lesión del menisco interno y  del ligamento  colateral interno </w:t>
      </w:r>
      <w:r>
        <w:rPr>
          <w:b/>
          <w:lang w:val="es-AR" w:eastAsia="es-AR" w:bidi="es-AR"/>
        </w:rPr>
        <w:t xml:space="preserve">tratado ortopédicamente </w:t>
      </w:r>
      <w:r>
        <w:rPr>
          <w:lang w:val="es-AR" w:eastAsia="es-AR" w:bidi="es-AR"/>
        </w:rPr>
        <w:t xml:space="preserve">...". ( el sobresaltado me pertenece ). Es decir que la secuela del ligamento ha sido  tratada ortopédicamente lo que importó  conforme la misma pericia  que la lesión sufrida es la pertinente al estadío I / II,  por cuanto así lo afirma el Experto "... Los estadios I/II suelen tratarse en forma ortopédica....", por lo que la incertidumbre  de una intervención quirúrgica alegada no es recibida.</w:t>
      </w:r>
    </w:p>
    <w:p>
      <w:pPr>
        <w:pStyle w:val="[Normal]"/>
        <w:spacing w:line="360" w:lineRule="auto"/>
        <w:ind w:firstLine="1134"/>
        <w:jc w:val="both"/>
        <w:rPr>
          <w:lang w:val="es-AR" w:eastAsia="es-AR" w:bidi="es-AR"/>
        </w:rPr>
      </w:pPr>
      <w:r>
        <w:rPr>
          <w:lang w:val="es-AR" w:eastAsia="es-AR" w:bidi="es-AR"/>
        </w:rPr>
        <w:t xml:space="preserve">Y en relación a la queja de la contraria tampoco cabe recibirla  por que como se dijera precedemente, disminuir la lesión a un mero esguince y de ello deducir una exorbitancia el monto, es dejar de lado lo concreto en cuanto a lo que ello importó, esto  es un 20% de incapacidad, que fue tratada ortopédicamente, que es razonable un lapso de tiempo con impedimentos o dificultades ambulatorias y con ello la zozobra padecida, por lo que luce atinado la suma cuantificada.</w:t>
      </w:r>
    </w:p>
    <w:p>
      <w:pPr>
        <w:pStyle w:val="[Normal]"/>
        <w:spacing w:line="360" w:lineRule="auto"/>
        <w:ind w:firstLine="1134"/>
        <w:jc w:val="both"/>
        <w:rPr>
          <w:lang w:val="es-AR" w:eastAsia="es-AR" w:bidi="es-AR"/>
        </w:rPr>
      </w:pPr>
      <w:r>
        <w:rPr>
          <w:lang w:val="es-AR" w:eastAsia="es-AR" w:bidi="es-AR"/>
        </w:rPr>
        <w:t xml:space="preserve">En punto a la improcedencia del rubro lucro cesante, primeramente cabe decir que   el actor en demanda denunció que por su actividad como mensajero sus ingresos mensuales alcanzan la suma de $ 25.000 y el pedimento fue desestimado básicamente por la falta de prueba contundente de los ingresos mensuales o diarios.</w:t>
      </w:r>
    </w:p>
    <w:p>
      <w:pPr>
        <w:pStyle w:val="[Normal]"/>
        <w:spacing w:line="360" w:lineRule="auto"/>
        <w:ind w:firstLine="1134"/>
        <w:jc w:val="both"/>
        <w:rPr>
          <w:lang w:val="es-AR" w:eastAsia="es-AR" w:bidi="es-AR"/>
        </w:rPr>
      </w:pPr>
      <w:r>
        <w:rPr>
          <w:lang w:val="es-AR" w:eastAsia="es-AR" w:bidi="es-AR"/>
        </w:rPr>
        <w:t xml:space="preserve">Entiendo que, por otros argumentos a los vertidos en la expresión de agravios, tal segmento de la sentencia debe ser revocada.</w:t>
      </w:r>
    </w:p>
    <w:p>
      <w:pPr>
        <w:pStyle w:val="[Normal]"/>
        <w:spacing w:line="360" w:lineRule="auto"/>
        <w:ind w:firstLine="1134"/>
        <w:jc w:val="both"/>
        <w:rPr>
          <w:lang w:val="es-AR" w:eastAsia="es-AR" w:bidi="es-AR"/>
        </w:rPr>
      </w:pPr>
      <w:r>
        <w:rPr>
          <w:lang w:val="es-AR" w:eastAsia="es-AR" w:bidi="es-AR"/>
        </w:rPr>
        <w:t xml:space="preserve">Y si bien es cierto que los ingresos mensuales no han sido acreditados,  también  lo es  que no alcanza la mera manifestación de la parte en relación a  que,  siendo  mensajería  un trabajo no registrable,  debe tenerse en cuenta el monto de ingresos que denuncia.</w:t>
      </w:r>
    </w:p>
    <w:p>
      <w:pPr>
        <w:pStyle w:val="[Normal]"/>
        <w:spacing w:line="360" w:lineRule="auto"/>
        <w:ind w:firstLine="1134"/>
        <w:jc w:val="both"/>
        <w:rPr>
          <w:lang w:val="es-AR" w:eastAsia="es-AR" w:bidi="es-AR"/>
        </w:rPr>
      </w:pPr>
      <w:r>
        <w:rPr>
          <w:lang w:val="es-AR" w:eastAsia="es-AR" w:bidi="es-AR"/>
        </w:rPr>
        <w:t xml:space="preserve">Ahora bien, la falta de prueba de ingresos no desecha por si el reclamo. En efecto se halla acreditado a la causa las tareas como mensajero y delibery que realizaba el Sr. Zarate, de ello da cuenta el testigo Sr. Brian Daniel Sanchez, quien efectivamente confirmó que el actor realizaba tales  tareas  y sabido es que la máxima " testigo único testigo nulo " ha sido superada por la doctrina y jurisprudencia. Apoya a ello, lo expuesto que los testigos no se cuentan por su  número  sino se valoran sus dichos y el caso es que el testigo no fue impugnado, su testimonio no ha sido cuestionado y  ello da base para concluir que en efecto el actor de autos, trabajaba de mensajero ( art. 424 CPC.).</w:t>
      </w:r>
    </w:p>
    <w:p>
      <w:pPr>
        <w:pStyle w:val="[Normal]"/>
        <w:spacing w:line="360" w:lineRule="auto"/>
        <w:ind w:firstLine="1134"/>
        <w:jc w:val="both"/>
        <w:rPr>
          <w:lang w:val="es-AR" w:eastAsia="es-AR" w:bidi="es-AR"/>
        </w:rPr>
      </w:pPr>
      <w:r>
        <w:rPr>
          <w:lang w:val="es-AR" w:eastAsia="es-AR" w:bidi="es-AR"/>
        </w:rPr>
        <w:t xml:space="preserve">La falta de acreditación del ingreso mensual   lo afecta  específicamente a los fines de la acreditación del monto del reclamo, más no el hecho cierto y probado a la causa, por ello acreditado el daño sufrido el juez en uso de las facultades del art. 165 CPC., ha de extremar la prudencia para su determinación.</w:t>
      </w:r>
    </w:p>
    <w:p>
      <w:pPr>
        <w:pStyle w:val="[Normal]"/>
        <w:spacing w:line="360" w:lineRule="auto"/>
        <w:ind w:firstLine="1134"/>
        <w:jc w:val="both"/>
        <w:rPr>
          <w:lang w:val="es-AR" w:eastAsia="es-AR" w:bidi="es-AR"/>
        </w:rPr>
      </w:pPr>
      <w:r>
        <w:rPr>
          <w:lang w:val="es-AR" w:eastAsia="es-AR" w:bidi="es-AR"/>
        </w:rPr>
        <w:t xml:space="preserve">"... El daño debe ser "cierto" y no puramente eventual o hipotético. Esto significa que debe haber certidumbre en cuanto a su existencia misma, presente o futura, aunque pueda no ser todavía determinable su monto; a la inversa, el daño es incierto —y, por ello, no resarcible— cuando no se tiene ninguna seguridad de que vaya a existir en alguna medida, no ofreciéndose aun más que como una posibilidad. El simple peligro o la sola amenaza de daño no basta". En los mismos términos se pronuncian, en el derecho francés, Mazeaud y Tunc: "Es preciso que el juez tenga la certeza de que el demandante se habría encontrado en una situación mejor si el demandado no hubiera realizado el acto que se le reprocha"..." ( ORGAZ, Alfredo, El daño resarcible (Actos Ilícitos), 2ª. Ed. Rev. y Act., Omeba, Buenos Aires, 1960, pág. 94 ).</w:t>
      </w:r>
    </w:p>
    <w:p>
      <w:pPr>
        <w:pStyle w:val="[Normal]"/>
        <w:spacing w:line="360" w:lineRule="auto"/>
        <w:ind w:firstLine="1134"/>
        <w:jc w:val="both"/>
        <w:rPr>
          <w:lang w:val="es-AR" w:eastAsia="es-AR" w:bidi="es-AR"/>
        </w:rPr>
      </w:pPr>
      <w:r>
        <w:rPr>
          <w:lang w:val="es-AR" w:eastAsia="es-AR" w:bidi="es-AR"/>
        </w:rPr>
        <w:t xml:space="preserve">Y, en autos el daño es cierto, efectivo y la consecuencia incapacitante acreditada por la prueba pericial pertinente ( art. 474 CPC.) y para recibir el rubro, la prueba debe  estar  dirigida a acreditar el lapso durante el cual se habría visto privada la víctima de los ingresos propios de su oficio.</w:t>
      </w:r>
    </w:p>
    <w:p>
      <w:pPr>
        <w:pStyle w:val="[Normal]"/>
        <w:spacing w:line="360" w:lineRule="auto"/>
        <w:ind w:firstLine="1134"/>
        <w:jc w:val="both"/>
        <w:rPr>
          <w:lang w:val="es-AR" w:eastAsia="es-AR" w:bidi="es-AR"/>
        </w:rPr>
      </w:pPr>
      <w:r>
        <w:rPr>
          <w:lang w:val="es-AR" w:eastAsia="es-AR" w:bidi="es-AR"/>
        </w:rPr>
        <w:t xml:space="preserve"> En tal tarea</w:t>
      </w:r>
      <w:r>
        <w:rPr>
          <w:b/>
          <w:lang w:val="es-AR" w:eastAsia="es-AR" w:bidi="es-AR"/>
        </w:rPr>
        <w:t xml:space="preserve">,</w:t>
      </w:r>
      <w:r>
        <w:rPr>
          <w:lang w:val="es-AR" w:eastAsia="es-AR" w:bidi="es-AR"/>
        </w:rPr>
        <w:t xml:space="preserve"> si valoramos la prueba pericial médica el experto constata con los estudios por imágenes aportados por el actor: " ... RMN de rodilla derecha del día 03 de Septiembre de 2018 realizado por Dr. Juan José Lestussi (f.16) que informa aumento en la intensidad de señal del cuerno posterior del menisco interno, franco derrame articular, edema pre rotuliano con colección hemática antero interna. Evidente engrosamiento y edema de fibras del ligamento colateral interno que impresiona corresponder a una lesion grado I/II. Edema óseo en sector interno de la rótula, Edema en hueco poplíteo con incipiente quiste sinovial. LCA y LCP con trayecto e inserciones conservados...". ( presentación electrónica del 05 / 09 / 2019 ).</w:t>
      </w:r>
    </w:p>
    <w:p>
      <w:pPr>
        <w:pStyle w:val="[Normal]"/>
        <w:spacing w:line="360" w:lineRule="auto"/>
        <w:ind w:firstLine="1134"/>
        <w:jc w:val="both"/>
        <w:rPr>
          <w:lang w:val="es-AR" w:eastAsia="es-AR" w:bidi="es-AR"/>
        </w:rPr>
      </w:pPr>
      <w:r>
        <w:rPr>
          <w:lang w:val="es-AR" w:eastAsia="es-AR" w:bidi="es-AR"/>
        </w:rPr>
        <w:t xml:space="preserve">Ello da cuenta del estado de la rodilla  del actor, que si lo sumamos al trabajo acreditado como mensajero para el cual lo hace en motocicleta es fácil deducir que por el tiempo que lleva la desinflamación de la rodilla, no pudo trabajar y  así el período denunciado de un mes de convalecencia es atinado y razonable con la lesión padecida.</w:t>
      </w:r>
    </w:p>
    <w:p>
      <w:pPr>
        <w:pStyle w:val="[Normal]"/>
        <w:spacing w:line="360" w:lineRule="auto"/>
        <w:ind w:firstLine="1134"/>
        <w:jc w:val="both"/>
        <w:rPr>
          <w:lang w:val="es-AR" w:eastAsia="es-AR" w:bidi="es-AR"/>
        </w:rPr>
      </w:pPr>
      <w:r>
        <w:rPr>
          <w:lang w:val="es-AR" w:eastAsia="es-AR" w:bidi="es-AR"/>
        </w:rPr>
        <w:t xml:space="preserve">En el mismo sentido, se ha dicho que "... Pero tratándose de una actividad personal lucrativa, donde los ingresos provienen exclusivamente del trabajo realizado, basta acreditar que esa actividad se desarrollaba y que se vio absolutamente suspendida por un lapso a consecuencia de las lesiones, para tener como probado la existencia del daño, quedando al prudente arbitrio judicial la fijación de su importe cuando él no surja de la prueba colectada (arts. 1069 Cód. Civ. y 165 Cód. Proc.)..." ( CC0002 SM 49029 RSD-37-1 S 01/03/2001 ). "... El lucro cesante requiere prueba adecuada de la actividad desempeñada, ingresos y utilidades dejadas de percibir. Dicha prueba no requiere una demostración exacta de la ganancia dejada de percibir, resultando suficiente que esté justificada la labor prestada, lo que se ganaba, el tiempo transcurrido, etc., pues es eso lo que constituye el daño, que debe ser cierto, aunque no pueda ser determinado su monto (art. 1069, C. Civil)..." ( CC0203 LP B 70284 RSD-244-90 S 04/12/1990 ).</w:t>
      </w:r>
    </w:p>
    <w:p>
      <w:pPr>
        <w:pStyle w:val="[Normal]"/>
        <w:spacing w:line="360" w:lineRule="auto"/>
        <w:ind w:firstLine="1134"/>
        <w:jc w:val="both"/>
        <w:rPr>
          <w:lang w:val="es-AR" w:eastAsia="es-AR" w:bidi="es-AR"/>
        </w:rPr>
      </w:pPr>
      <w:r>
        <w:rPr>
          <w:b/>
          <w:lang w:val="es-AR" w:eastAsia="es-AR" w:bidi="es-AR"/>
        </w:rPr>
        <w:t xml:space="preserve">Llegado</w:t>
      </w:r>
      <w:r>
        <w:rPr>
          <w:lang w:val="es-AR" w:eastAsia="es-AR" w:bidi="es-AR"/>
        </w:rPr>
        <w:t xml:space="preserve"> a este punto entiendo justo que, habiéndose considerado a los fines de la cuantificación del rubro incapacidad el ingreso mensual conforme el salario mínimo vital y móvil vigente al tiempo de la sentencia, sea el mismo parámetro a seguir a los fines de determinar el ingreso mensual de $ 18.900 para calcular el lucro cesante.</w:t>
      </w:r>
    </w:p>
    <w:p>
      <w:pPr>
        <w:pStyle w:val="[Normal]"/>
        <w:spacing w:line="360" w:lineRule="auto"/>
        <w:ind w:firstLine="1134"/>
        <w:jc w:val="both"/>
        <w:rPr>
          <w:lang w:val="es-AR" w:eastAsia="es-AR" w:bidi="es-AR"/>
        </w:rPr>
      </w:pPr>
      <w:r>
        <w:rPr>
          <w:lang w:val="es-AR" w:eastAsia="es-AR" w:bidi="es-AR"/>
        </w:rPr>
        <w:t xml:space="preserve">En suma, teniendo el cuenta el daño físico peritado,  el tiempo de un mes para poder reiniciar las mismas tareas de mensajería, el salario mínimo vital y móvil, he de proponer la procedencia del reclamo en la suma de $ 18.900.</w:t>
      </w:r>
    </w:p>
    <w:p>
      <w:pPr>
        <w:pStyle w:val="[Normal]"/>
        <w:spacing w:line="360" w:lineRule="auto"/>
        <w:ind w:firstLine="1134"/>
        <w:jc w:val="both"/>
        <w:rPr>
          <w:b/>
          <w:lang w:val="es-AR" w:eastAsia="es-AR" w:bidi="es-AR"/>
        </w:rPr>
      </w:pPr>
      <w:r>
        <w:rPr>
          <w:lang w:val="es-AR" w:eastAsia="es-AR" w:bidi="es-AR"/>
        </w:rPr>
        <w:t xml:space="preserve">Finalmente,</w:t>
      </w:r>
      <w:r>
        <w:rPr>
          <w:b/>
          <w:lang w:val="es-AR" w:eastAsia="es-AR" w:bidi="es-AR"/>
        </w:rPr>
        <w:t xml:space="preserve">  </w:t>
      </w:r>
      <w:r>
        <w:rPr>
          <w:lang w:val="es-AR" w:eastAsia="es-AR" w:bidi="es-AR"/>
        </w:rPr>
        <w:t xml:space="preserve">en punto a los intereses determinados en sentencia</w:t>
      </w:r>
      <w:r>
        <w:rPr>
          <w:b/>
          <w:lang w:val="es-AR" w:eastAsia="es-AR" w:bidi="es-AR"/>
        </w:rPr>
        <w:t xml:space="preserve"> </w:t>
      </w:r>
      <w:r>
        <w:rPr>
          <w:lang w:val="es-AR" w:eastAsia="es-AR" w:bidi="es-AR"/>
        </w:rPr>
        <w:t xml:space="preserve">lleva razón el impugnante, dado que efectivamente el Sr. juez tomó como pauta, para cuantificar la incapacidad, el salario mínimo vital y móvil a la fecha del dictado de la sentencia.</w:t>
      </w:r>
    </w:p>
    <w:p>
      <w:pPr>
        <w:pStyle w:val="[Normal]"/>
        <w:spacing w:line="360" w:lineRule="auto"/>
        <w:ind w:firstLine="1134"/>
        <w:jc w:val="both"/>
        <w:rPr>
          <w:lang w:val="es-AR" w:eastAsia="es-AR" w:bidi="es-AR"/>
        </w:rPr>
      </w:pPr>
      <w:r>
        <w:rPr>
          <w:lang w:val="es-AR" w:eastAsia="es-AR" w:bidi="es-AR"/>
        </w:rPr>
        <w:t xml:space="preserve">Este Tribunal, ha tenido ya oportunidad de revocar los mismos argumentos aquí expuestos por el sentenciante de grado para determinar los intereses y lo ha hecho con apoyo de un fallo reciente de la Suprema Corte de la Provincia de Bs. As., que claramente desestima los argumentos de la sentencia, los que cabe reproducir por su identidad.</w:t>
      </w:r>
    </w:p>
    <w:p>
      <w:pPr>
        <w:pStyle w:val="[Normal]"/>
        <w:spacing w:line="360" w:lineRule="auto"/>
        <w:ind w:firstLine="1134"/>
        <w:jc w:val="both"/>
        <w:rPr>
          <w:i/>
          <w:lang w:val="es-AR" w:eastAsia="es-AR" w:bidi="es-AR"/>
        </w:rPr>
      </w:pPr>
      <w:r>
        <w:rPr>
          <w:lang w:val="es-AR" w:eastAsia="es-AR" w:bidi="es-AR"/>
        </w:rPr>
        <w:t xml:space="preserve">Así, en aquella oportunidad se dijo que: " ... </w:t>
      </w:r>
      <w:r>
        <w:rPr>
          <w:b/>
          <w:i/>
          <w:lang w:val="es-AR" w:eastAsia="es-AR" w:bidi="es-AR"/>
        </w:rPr>
        <w:t xml:space="preserve"> </w:t>
      </w:r>
      <w:r>
        <w:rPr>
          <w:i/>
          <w:lang w:val="es-AR" w:eastAsia="es-AR" w:bidi="es-AR"/>
        </w:rPr>
        <w:t xml:space="preserve">La sentencia de grado determinó que el capital se le ha de aditar los intereses calculados a la tasa pasiva "digital" que pague el Bco. de la Pcia. de Bs. As. en sus depósitos a treinta días vigente en los distintos períodos de aplicación, a partir de la fecha de la mora (17/07/2018) y hasta el momento de su efectivo pago (S.C.B.A., Ac. 2078, C-95.720 del 15/09/2010 y L-118615 del 11/03/2015) (art. 768 C.C.C.N.).</w:t>
      </w:r>
    </w:p>
    <w:p>
      <w:pPr>
        <w:pStyle w:val="[Normal]"/>
        <w:spacing w:line="360" w:lineRule="auto"/>
        <w:ind w:firstLine="1134"/>
        <w:jc w:val="both"/>
        <w:rPr>
          <w:i/>
          <w:lang w:val="es-AR" w:eastAsia="es-AR" w:bidi="es-AR"/>
        </w:rPr>
      </w:pPr>
      <w:r>
        <w:rPr>
          <w:i/>
          <w:lang w:val="es-AR" w:eastAsia="es-AR" w:bidi="es-AR"/>
        </w:rPr>
        <w:t xml:space="preserve">En efecto, el juez a-quo,  para calcular el monto por incapacidad tuvo en cuenta el salario mínimo vital y móvil vigente al tiempo del dictado de la sentencia y da los motivos por el cual entiende que no resulta de aplicación al caso la doctrina surgente de nuestro Máximo Tribunal Provincial en causa " Vera " y " Nidera ", básicamente considera que el demandado resultaba ser el Estado Provincial, la mora superior a los quince años y por ello aplica otros antecedentes del mismo Tribunal.</w:t>
      </w:r>
    </w:p>
    <w:p>
      <w:pPr>
        <w:pStyle w:val="[Normal]"/>
        <w:spacing w:line="360" w:lineRule="auto"/>
        <w:ind w:firstLine="1134"/>
        <w:jc w:val="both"/>
        <w:rPr>
          <w:i/>
          <w:lang w:val="es-AR" w:eastAsia="es-AR" w:bidi="es-AR"/>
        </w:rPr>
      </w:pPr>
      <w:r>
        <w:rPr>
          <w:i/>
          <w:lang w:val="es-AR" w:eastAsia="es-AR" w:bidi="es-AR"/>
        </w:rPr>
        <w:t xml:space="preserve">Primeramente cabe decir que como en el caso "... Es oportuno recordar que de la doctrina legal emergente de las referidas causas C. 120.536, "Vera" (sent. de 18-IV-2018) y C. 121.134, "Nidera S.A." (sent. de 3-V-2018) se desprende que cuando se fija un monto indemnizatorio a valor actual (por ej. al tiempo de la sentencia) debe utilizarse -por el lapso que media entre el hecho dañoso y el momento de aquella valoración- el denominado interés puro, a fin de evitar distorsiones en el cálculo y determinación del crédito. Y de allí hasta el efectivo pago, la tasa fijada en los casos C. 119.176, "Cabrera" y L. 118.587, "Trofe" (ambas sents. de 15-V-2016).</w:t>
      </w:r>
    </w:p>
    <w:p>
      <w:pPr>
        <w:pStyle w:val="[Normal]"/>
        <w:spacing w:line="360" w:lineRule="auto"/>
        <w:ind w:firstLine="1134"/>
        <w:jc w:val="both"/>
        <w:rPr>
          <w:lang w:val="es-AR" w:eastAsia="es-AR" w:bidi="es-AR"/>
        </w:rPr>
      </w:pPr>
      <w:r>
        <w:rPr>
          <w:i/>
          <w:lang w:val="es-AR" w:eastAsia="es-AR" w:bidi="es-AR"/>
        </w:rPr>
        <w:t xml:space="preserve">Y, en sentencia de reciente data ( 03 / 11 / 2020 ) la Suprema Corte de la Provincia de Buenos Aires, en autos  caratulados   " Calderón, Edgardo Daniel y otros contra Clínica Pergamino S.A. y otros. Daños y perjuicios ", dejó aclarada la cuestión aquí traída a decidir: "...  que el cálculo del crédito a valores actuales brindaba una respuesta proporcional y adecuada frente al impacto negativo de factores económicos notorios -como las altas tasas de inflación experimentadas en las últimas décadas- siendo un lógico corolario de esa valoración del daño al momento de la sentencia la compensación por la mora por el período previo a través de la denominada tasa de interés puro...," "... IV.2.a. Ahora bien, no asiste razón a los recurrentes en tanto afirman que la referida doctrina no resulta aplicable en la especie toda vez que las circunstancias ponderadas en aquellos precedentes difieren de las que ofrece el caso ahora examinado (v. fs. 1.027 vta.)...", " ...Una detenida lectura de la citada jurisprudencia demuestra la improcedencia de tal afirmación. En efecto, los presupuestos de aplicación de la tasa de interés puro (6% anual) consisten, por un lado, en la cuantificación del daño a valores actuales y, por el otro, en que el inicio del cómputo de tales accesorios comienza con el hecho dañoso y transcurre por el lapso anterior a dicha valoración. La aplicabilidad de la solución allí sentada no está supeditada a la concurrencia de ninguna circunstancia fáctica particular -por ejemplo la índole de la obligación a indemnizar, la naturaleza de los sujetos obligados al pago, la extensión temporal de la mora, etc.- como erróneamente sostienen los quejosos </w:t>
      </w:r>
      <w:r>
        <w:rPr>
          <w:lang w:val="es-AR" w:eastAsia="es-AR" w:bidi="es-AR"/>
        </w:rPr>
        <w:t xml:space="preserve">..." ( el subrayado me pertenece  SCBA  causa C. 123.297 )... </w:t>
      </w:r>
      <w:r>
        <w:rPr>
          <w:i/>
          <w:lang w:val="es-AR" w:eastAsia="es-AR" w:bidi="es-AR"/>
        </w:rPr>
        <w:t xml:space="preserve">Así explicitada claramente la doctrina legal de la Suprema Corte Provincial, que de modo resumido consiste en que los montos o valores que se determinan en la sentencia si son  actuales, más allá de quien sea el demandado, la fecha de la mora, etc. se aplica la doctrina de los fallos " Vera " y " Nidera " y no como se consignó en sentencia..."</w:t>
      </w:r>
      <w:r>
        <w:rPr>
          <w:lang w:val="es-AR" w:eastAsia="es-AR" w:bidi="es-AR"/>
        </w:rPr>
        <w:t xml:space="preserve"> ( CAP. C: 4097 ).</w:t>
      </w:r>
    </w:p>
    <w:p>
      <w:pPr>
        <w:pStyle w:val="[Normal]"/>
        <w:spacing w:line="360" w:lineRule="auto"/>
        <w:ind w:firstLine="1134"/>
        <w:jc w:val="both"/>
        <w:rPr>
          <w:lang w:val="es-AR" w:eastAsia="es-AR" w:bidi="es-AR"/>
        </w:rPr>
      </w:pPr>
      <w:r>
        <w:rPr>
          <w:lang w:val="es-AR" w:eastAsia="es-AR" w:bidi="es-AR"/>
        </w:rPr>
        <w:t xml:space="preserve">Entonces se modifica este segmento  del fallo y en consecuencia al capital de sentencia, deducido el porcentaje de responsabilidad se le ha de aditar los intereses a la tasa pura ( 6% ) desde la fecha del hecho 18 de junio de 2018 hasta la presente  sentencia  y de ahí en más  resultará aplicable la tasa pasiva más alta fijada por el Banco de la Provincia de Buenos Aires en sus depósitos a treinta días hasta el día del efectivo pago..." ( CAP. C: 4097 ).</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los Sres. Jueces </w:t>
      </w:r>
      <w:r>
        <w:rPr>
          <w:color w:val="000000"/>
          <w:lang w:val="es-AR" w:eastAsia="es-AR" w:bidi="es-AR"/>
        </w:rPr>
        <w:t xml:space="preserve"> ROBERTO DEGLEUE Y GRACIELA SCARAFFIA</w:t>
      </w:r>
      <w:r>
        <w:rPr>
          <w:lang w:val="es-AR" w:eastAsia="es-AR" w:bidi="es-AR"/>
        </w:rPr>
        <w:t xml:space="preserv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w:t>
      </w:r>
      <w:r>
        <w:rPr>
          <w:color w:val="000000"/>
          <w:lang w:val="es-AR" w:eastAsia="es-AR" w:bidi="es-AR"/>
        </w:rPr>
        <w:t xml:space="preserve">BERNARDO LOUISE</w:t>
      </w:r>
      <w:r>
        <w:rPr>
          <w:lang w:val="es-AR" w:eastAsia="es-AR" w:bidi="es-AR"/>
        </w:rPr>
        <w:t xml:space="preserv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1 ) Hacer lugar parcialmente al recurso de apelación deducido por la parte demandada, estableciendo desde aquí que la responsabilidad en el evento se atribuye en un 50% a cada parte.-</w:t>
      </w:r>
    </w:p>
    <w:p>
      <w:pPr>
        <w:pStyle w:val="[Normal]"/>
        <w:spacing w:line="360" w:lineRule="auto"/>
        <w:ind w:firstLine="1134"/>
        <w:jc w:val="both"/>
        <w:rPr>
          <w:lang w:val="es-AR" w:eastAsia="es-AR" w:bidi="es-AR"/>
        </w:rPr>
      </w:pPr>
      <w:r>
        <w:rPr>
          <w:lang w:val="es-AR" w:eastAsia="es-AR" w:bidi="es-AR"/>
        </w:rPr>
        <w:t xml:space="preserve">2 ) Hacer lugar parcialmente al recurso de apelación de la parte actora, admitiéndose el rubro lucro cesante en la suma de pesos dieciocho mil novecientos (18.900).-</w:t>
      </w:r>
    </w:p>
    <w:p>
      <w:pPr>
        <w:pStyle w:val="[Normal]"/>
        <w:spacing w:line="360" w:lineRule="auto"/>
        <w:ind w:firstLine="1134"/>
        <w:jc w:val="both"/>
        <w:rPr>
          <w:lang w:val="es-AR" w:eastAsia="es-AR" w:bidi="es-AR"/>
        </w:rPr>
      </w:pPr>
      <w:r>
        <w:rPr>
          <w:lang w:val="es-AR" w:eastAsia="es-AR" w:bidi="es-AR"/>
        </w:rPr>
        <w:t xml:space="preserve">3 ) Confirmar en todo lo demás la sentencia apelada.-</w:t>
      </w:r>
    </w:p>
    <w:p>
      <w:pPr>
        <w:pStyle w:val="[Normal]"/>
        <w:spacing w:line="360" w:lineRule="auto"/>
        <w:ind w:firstLine="1134"/>
        <w:jc w:val="both"/>
        <w:rPr>
          <w:lang w:val="es-AR" w:eastAsia="es-AR" w:bidi="es-AR"/>
        </w:rPr>
      </w:pPr>
      <w:r>
        <w:rPr>
          <w:lang w:val="es-AR" w:eastAsia="es-AR" w:bidi="es-AR"/>
        </w:rPr>
        <w:t xml:space="preserve">4 ) Las costas de Alzada se distribuyen en un 50% a cada parte. (art. 71 CPC.). Diferir la regulación de honorarios de los letrados hasta tanto obre en autos liquidación firme (art. 31 ley arancelaria).-</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los Sres. Jueces </w:t>
      </w:r>
      <w:r>
        <w:rPr>
          <w:color w:val="000000"/>
          <w:lang w:val="es-AR" w:eastAsia="es-AR" w:bidi="es-AR"/>
        </w:rPr>
        <w:t xml:space="preserve"> ROBERTO DEGLEUE Y GRACIELA SCARAFFIA</w:t>
      </w:r>
      <w:r>
        <w:rPr>
          <w:lang w:val="es-AR" w:eastAsia="es-AR" w:bidi="es-AR"/>
        </w:rPr>
        <w:t xml:space="preserv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b/>
          <w:u w:val="single"/>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1) Hacer lugar parcialmente al recurso de apelación deducido por la parte demandada, estableciendo desde aquí que la responsabilidad en el evento se atribuye en un 50% a cada parte.-</w:t>
      </w:r>
    </w:p>
    <w:p>
      <w:pPr>
        <w:pStyle w:val="[Normal]"/>
        <w:spacing w:line="360" w:lineRule="auto"/>
        <w:ind w:firstLine="1134"/>
        <w:jc w:val="both"/>
        <w:rPr>
          <w:lang w:val="es-AR" w:eastAsia="es-AR" w:bidi="es-AR"/>
        </w:rPr>
      </w:pPr>
      <w:r>
        <w:rPr>
          <w:lang w:val="es-AR" w:eastAsia="es-AR" w:bidi="es-AR"/>
        </w:rPr>
        <w:t xml:space="preserve">2 ) Hacer lugar parcialmente al recurso de apelación de la parte actora, admitiéndose el rubro lucro cesante en la suma de pesos dieciocho mil novecientos (18.900).-</w:t>
      </w:r>
    </w:p>
    <w:p>
      <w:pPr>
        <w:pStyle w:val="[Normal]"/>
        <w:spacing w:line="360" w:lineRule="auto"/>
        <w:ind w:firstLine="1134"/>
        <w:jc w:val="both"/>
        <w:rPr>
          <w:lang w:val="es-AR" w:eastAsia="es-AR" w:bidi="es-AR"/>
        </w:rPr>
      </w:pPr>
      <w:r>
        <w:rPr>
          <w:lang w:val="es-AR" w:eastAsia="es-AR" w:bidi="es-AR"/>
        </w:rPr>
        <w:t xml:space="preserve">3 ) Confirmar en todo lo demás la sentencia apelada.-</w:t>
      </w:r>
    </w:p>
    <w:p>
      <w:pPr>
        <w:pStyle w:val="[Normal]"/>
        <w:spacing w:line="360" w:lineRule="auto"/>
        <w:ind w:firstLine="1134"/>
        <w:jc w:val="both"/>
        <w:rPr>
          <w:lang w:val="es-AR" w:eastAsia="es-AR" w:bidi="es-AR"/>
        </w:rPr>
      </w:pPr>
      <w:r>
        <w:rPr>
          <w:lang w:val="es-AR" w:eastAsia="es-AR" w:bidi="es-AR"/>
        </w:rPr>
        <w:t xml:space="preserve">4 ) Las costas de Alzada se distribuyen en un 50% a cada parte. (art. 71 CPC.). Diferir la regulación de honorarios de los letrados hasta tanto obre en autos liquidación firme (art. 31 ley arancelaria).- </w:t>
      </w:r>
    </w:p>
    <w:p>
      <w:pPr>
        <w:pStyle w:val="[Normal]"/>
        <w:spacing w:line="360" w:lineRule="auto"/>
        <w:ind w:firstLine="1134"/>
        <w:jc w:val="both"/>
        <w:rPr>
          <w:lang w:val="es-AR" w:eastAsia="es-AR" w:bidi="es-AR"/>
        </w:rPr>
      </w:pPr>
      <w:r>
        <w:rPr>
          <w:lang w:val="es-AR" w:eastAsia="es-AR" w:bidi="es-AR"/>
        </w:rPr>
        <w:t xml:space="preserve">Regístrese. Notifíquese por Secretaría (Ac. 3845 SCBA) remitiéndose copia digital de la presente sentencia a los domicilios electrónicos de las respectivas partes que se detallan a continuación. Devuélvase.</w:t>
      </w:r>
    </w:p>
    <w:p>
      <w:pPr>
        <w:pStyle w:val="[Normal]"/>
        <w:spacing w:line="360" w:lineRule="auto"/>
        <w:ind w:firstLine="1134"/>
        <w:rPr>
          <w:color w:val="000000"/>
          <w:lang w:val="es-AR" w:eastAsia="es-AR" w:bidi="es-AR"/>
        </w:rPr>
      </w:pPr>
      <w:r>
        <w:rPr>
          <w:noProof/>
          <w:color w:val="000000"/>
          <w:lang w:val="es-AR" w:eastAsia="es-AR" w:bidi="es-AR"/>
        </w:rPr>
        <w:t xml:space="preserve">20237896727@NOTIFICACIONES.SCBA.GOV.AR</w:t>
      </w:r>
    </w:p>
    <w:p>
      <w:pPr>
        <w:pStyle w:val="[Normal]"/>
        <w:rPr>
          <w:color w:val="000000"/>
          <w:lang w:val="es-AR" w:eastAsia="es-AR" w:bidi="es-AR"/>
        </w:rPr>
      </w:pPr>
    </w:p>
    <w:p>
      <w:pPr>
        <w:pStyle w:val="[Normal]"/>
        <w:rPr>
          <w:color w:val="000000"/>
          <w:lang w:val="es-AR" w:eastAsia="es-AR" w:bidi="es-AR"/>
        </w:rPr>
      </w:pPr>
      <w:r>
        <w:rPr>
          <w:noProof/>
          <w:color w:val="000000"/>
          <w:lang w:val="es-AR" w:eastAsia="es-AR" w:bidi="es-AR"/>
        </w:rPr>
        <w:t xml:space="preserve">27925531877@NOTIFICACIONES.SCBA.GOV.AR</w:t>
      </w:r>
    </w:p>
    <w:p>
      <w:pPr>
        <w:pStyle w:val="[Normal]"/>
        <w:rPr>
          <w:color w:val="000000"/>
          <w:lang w:val="es-AR" w:eastAsia="es-AR" w:bidi="es-AR"/>
        </w:rPr>
      </w:pPr>
    </w:p>
    <w:p>
      <w:pPr>
        <w:pStyle w:val="[Normal]"/>
        <w:rPr>
          <w:color w:val="000000"/>
          <w:lang w:val="es-AR" w:eastAsia="es-AR" w:bidi="es-AR"/>
        </w:rPr>
      </w:pPr>
    </w:p>
    <w:p>
      <w:pPr>
        <w:pStyle w:val="[Normal]"/>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27/05/2021 10:02:53 -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27/05/2021 10:05:50 -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27/05/2021 10:07:38 - LOUISE Bernardo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27/05/2021 11:27:26 - MARTINEZ Nicolas - SECRETARIO DE CÁMARA</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20237896727@NOTIFICACIONES.SCBA.GOV.AR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27925531877@NOTIFICACIONES.SCBA.GOV.AR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rPr>
      </w:pPr>
      <w:r>
        <w:rPr>
          <w:rFonts w:ascii="BarCode 128" w:hAnsi="BarCode 128" w:eastAsia="BarCode 128" w:cs="BarCode 128"/>
          <w:sz w:val="60"/>
        </w:rPr>
        <w:t xml:space="preserve">‰7o")è%0&lt;(MŠ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rPr>
      </w:pPr>
      <w:r>
        <w:rPr>
          <w:sz w:val="20"/>
        </w:rPr>
        <w:t xml:space="preserve">237902090005162808</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NO CONTIENE ARCHIVOS ADJUNTOS</w:t>
      </w:r>
    </w:p>
    <w:p>
      <w:pPr>
        <w:pStyle w:val="[Normal]"/>
      </w:pPr>
    </w:p>
    <w:sectPr>
      <w:headerReference w:type="default" r:id="rId00004"/>
      <w:footerReference w:type="default" r:id="rId00005"/>
      <w:pgSz w:w="11907" w:h="16834"/>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b/>
        <w:color w:val="000000"/>
        <w:sz w:val="20"/>
        <w:lang w:val="es-AR" w:eastAsia="es-AR" w:bidi="es-AR"/>
      </w:rPr>
    </w:pPr>
    <w:r>
      <w:rPr>
        <w:b/>
        <w:color w:val="000000"/>
        <w:sz w:val="20"/>
        <w:lang w:val="es-AR" w:eastAsia="es-AR" w:bidi="es-AR"/>
      </w:rPr>
      <w:t xml:space="preserve">4162 - 20 - ZARATE FEDERICO C/ SIRITO EMILIO SEBASTIAN Y OTRO/A S/ DAÑOS Y PERJ.AUTOM. C/LES. O MUERTE (EXC.ESTADO)</w:t>
    </w:r>
  </w:p>
  <w:p>
    <w:pPr>
      <w:pStyle w:val="[Normal]"/>
      <w:jc w:val="right"/>
      <w:rPr>
        <w:color w:val="000000"/>
        <w:lang w:val="es-AR" w:eastAsia="es-AR" w:bidi="es-AR"/>
      </w:rPr>
    </w:pPr>
    <w:r>
      <w:rPr>
        <w:lang w:val="es-AR" w:eastAsia="es-AR" w:bidi="es-AR"/>
      </w:rPr>
      <w:t xml:space="preserve"> </w:t>
    </w:r>
    <w:r>
      <w:rPr>
        <w:rFonts w:ascii="BarCode 128" w:hAnsi="BarCode 128" w:eastAsia="BarCode 128" w:cs="BarCode 128"/>
        <w:color w:val="000000"/>
        <w:sz w:val="50"/>
        <w:lang w:val="es-AR" w:eastAsia="es-AR" w:bidi="es-AR"/>
      </w:rPr>
      <w:t xml:space="preserve">‰7o")è%0&lt;(MŠ</w:t>
    </w:r>
    <w:r>
      <w:rPr>
        <w:color w:val="000000"/>
        <w:lang w:val="es-AR" w:eastAsia="es-AR" w:bidi="es-AR"/>
      </w:rPr>
      <w:t xml:space="preserve"> </w:t>
    </w:r>
  </w:p>
  <w:p>
    <w:pPr>
      <w:pStyle w:val="[Normal]"/>
      <w:jc w:val="right"/>
      <w:rPr>
        <w:color w:val="000000"/>
        <w:lang w:val="es-AR" w:eastAsia="es-AR" w:bidi="es-AR"/>
      </w:rPr>
    </w:pPr>
    <w:r>
      <w:rPr>
        <w:color w:val="000000"/>
        <w:lang w:val="es-AR" w:eastAsia="es-AR" w:bidi="es-AR"/>
      </w:rPr>
      <w:t xml:space="preserve">237902090005162808</w:t>
    </w:r>
    <w:r>
      <w:rPr>
        <w:color w:val="000000"/>
        <w:lang w:val="es-AR" w:eastAsia="es-AR" w:bidi="es-AR"/>
      </w:rPr>
      <w:t xml:space="preserve"> </w:t>
    </w:r>
  </w:p>
  <w:p>
    <w:pPr>
      <w:pStyle w:val="[Normal]"/>
      <w:rPr>
        <w:color w:val="000000"/>
        <w:lang w:val="es-AR" w:eastAsia="es-AR" w:bidi="es-AR"/>
      </w:rPr>
    </w:pPr>
    <w:r>
      <w:rPr>
        <w:color w:val="000000"/>
        <w:lang w:val="es-AR" w:eastAsia="es-AR" w:bidi="es-AR"/>
      </w:rPr>
      <w:t xml:space="preserve">                   </w:t>
    </w:r>
    <w:r>
      <w:rPr>
        <w:color w:val="000000"/>
        <w:lang w:val="es-AR" w:eastAsia="es-AR" w:bidi="es-AR"/>
      </w:rPr>
      <w:drawing>
        <wp:inline distT="0" distB="0" distL="0" distR="0">
          <wp:extent cx="420370" cy="6096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420370" cy="609600"/>
                  </a:xfrm>
                  <a:prstGeom prst="rect">
                    <a:avLst/>
                  </a:prstGeom>
                </pic:spPr>
              </pic:pic>
            </a:graphicData>
          </a:graphic>
        </wp:inline>
      </w:drawing>
    </w:r>
  </w:p>
  <w:p>
    <w:pPr>
      <w:pStyle w:val="[Normal]"/>
      <w:rPr>
        <w:color w:val="000000"/>
        <w:lang w:val="es-AR" w:eastAsia="es-AR" w:bidi="es-AR"/>
      </w:rPr>
    </w:pPr>
    <w:r>
      <w:rPr>
        <w:color w:val="000000"/>
        <w:lang w:val="es-AR" w:eastAsia="es-AR" w:bidi="es-AR"/>
      </w:rPr>
      <w:t xml:space="preserve">PROVINCIA DE BUENOS AIRES</w:t>
    </w:r>
  </w:p>
  <w:p>
    <w:pPr>
      <w:pStyle w:val="[Normal]"/>
      <w:rPr>
        <w:color w:val="000000"/>
        <w:lang w:val="es-AR" w:eastAsia="es-AR" w:bidi="es-AR"/>
      </w:rPr>
    </w:pPr>
    <w:r>
      <w:rPr>
        <w:color w:val="000000"/>
        <w:lang w:val="es-AR" w:eastAsia="es-AR" w:bidi="es-AR"/>
      </w:rPr>
      <w:t xml:space="preserve">              Poder Judicial  </w:t>
    </w: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