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63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Nº 335/340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4183-21</w:t>
      </w:r>
      <w:r>
        <w:rPr>
          <w:lang w:val="es-AR" w:eastAsia="es-AR" w:bidi="es-AR"/>
        </w:rPr>
        <w:t xml:space="preserve"> caratulada </w:t>
      </w:r>
      <w:r>
        <w:rPr>
          <w:b/>
          <w:lang w:val="es-AR" w:eastAsia="es-AR" w:bidi="es-AR"/>
        </w:rPr>
        <w:t xml:space="preserve">"</w:t>
      </w:r>
      <w:r>
        <w:rPr>
          <w:b/>
          <w:color w:val="000000"/>
          <w:lang w:val="es-AR" w:eastAsia="es-AR" w:bidi="es-AR"/>
        </w:rPr>
        <w:t xml:space="preserve">SANCHEZ MOLINA JUAN PABLO C/ NOVARESE NORBERTO ANTONIO Y OTRO/A S/ DAÑOS Y PERJ.AUTOM. C/LES. O MUERTE (EXC.ESTADO)</w:t>
      </w:r>
      <w:r>
        <w:rPr>
          <w:b/>
          <w:lang w:val="es-AR" w:eastAsia="es-AR" w:bidi="es-AR"/>
        </w:rPr>
        <w:t xml:space="preserve">"</w:t>
      </w:r>
      <w:r>
        <w:rPr>
          <w:lang w:val="es-AR" w:eastAsia="es-AR" w:bidi="es-AR"/>
        </w:rPr>
        <w:t xml:space="preserve">, Expte. N° 72672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Dres. Roberto Manuel Degleue, Graciela Scaraffía y Bernardo Louise,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instancia falló en la presente, rechazando la demanda instaurada contra el Sr. Norberto Antonio Novarese  y la citada en garantía Compañía de Seguros La Mercantil Andina S.A.. Aplicando las costas al actor que resulta vencido y regulando los honorarios de los letrados, peritos y mediadora intervinientes.</w:t>
      </w:r>
    </w:p>
    <w:p>
      <w:pPr>
        <w:pStyle w:val="[Normal]"/>
        <w:spacing w:line="360" w:lineRule="auto"/>
        <w:ind w:firstLine="1134"/>
        <w:jc w:val="both"/>
        <w:rPr>
          <w:lang w:val="es-AR" w:eastAsia="es-AR" w:bidi="es-AR"/>
        </w:rPr>
      </w:pPr>
      <w:r>
        <w:rPr>
          <w:lang w:val="es-AR" w:eastAsia="es-AR" w:bidi="es-AR"/>
        </w:rPr>
        <w:t xml:space="preserve">En fecha 30/12/2020, expresó agravios el actor, quien fundó su recurso mediante la presentación electrónica de fecha 15/3/2021.</w:t>
      </w:r>
    </w:p>
    <w:p>
      <w:pPr>
        <w:pStyle w:val="[Normal]"/>
        <w:spacing w:line="360" w:lineRule="auto"/>
        <w:ind w:firstLine="1134"/>
        <w:jc w:val="both"/>
        <w:rPr>
          <w:lang w:val="es-AR" w:eastAsia="es-AR" w:bidi="es-AR"/>
        </w:rPr>
      </w:pPr>
      <w:r>
        <w:rPr>
          <w:lang w:val="es-AR" w:eastAsia="es-AR" w:bidi="es-AR"/>
        </w:rPr>
        <w:t xml:space="preserve"> Se agravia en principio el apelante de la interpretación parcial de la norma realizada por el a-quo -según dice, respecto de la prioridad de paso al tomar sólo la presunción- destacando que todo conductor debe ceder siempre el paso en las encrucijadas al que cruza desde su derecha. Esta prioridad del que viene por la derecha es absoluta, que cede ante determinadas excepciones, entre otras, la que considera su parte que aplica completamente al caso: que se haya detenido la marcha. </w:t>
      </w:r>
    </w:p>
    <w:p>
      <w:pPr>
        <w:pStyle w:val="[Normal]"/>
        <w:spacing w:line="360" w:lineRule="auto"/>
        <w:ind w:firstLine="1134"/>
        <w:jc w:val="both"/>
        <w:rPr>
          <w:lang w:val="es-AR" w:eastAsia="es-AR" w:bidi="es-AR"/>
        </w:rPr>
      </w:pPr>
      <w:r>
        <w:rPr>
          <w:lang w:val="es-AR" w:eastAsia="es-AR" w:bidi="es-AR"/>
        </w:rPr>
        <w:t xml:space="preserve">Señala que ha quedado acreditado con los dichos del testigo propuesto, que el demandado cedió el paso a los motociclistas y dicha acción la ejecutó frenando en la encrucijada y que la regla de la prioridad de paso del vehículo que viene por la derecha forma parte de la doctrina legal y  es  utilizada como guía para determinar responsables, pero no puede interpretarse como una regla absoluta que permita al conductor arrasar con todo lo que se encuentre por el solo hecho de tener una supuesta legal prioridad de paso frente a otro vehículo que se acerca por la izquierda, sino que debe tenerse en cuenta siempre la obligación de circular con cuidado y prevención, conservando en todo momento el dominio efectivo del vehículo, considerando los riesgos propios de la circulación y demás circunstancias del tránsito.</w:t>
      </w:r>
    </w:p>
    <w:p>
      <w:pPr>
        <w:pStyle w:val="[Normal]"/>
        <w:spacing w:line="360" w:lineRule="auto"/>
        <w:ind w:firstLine="1134"/>
        <w:jc w:val="both"/>
        <w:rPr>
          <w:lang w:val="es-AR" w:eastAsia="es-AR" w:bidi="es-AR"/>
        </w:rPr>
      </w:pPr>
      <w:r>
        <w:rPr>
          <w:lang w:val="es-AR" w:eastAsia="es-AR" w:bidi="es-AR"/>
        </w:rPr>
        <w:t xml:space="preserve">Dice que según surge de los testimonios producidos, el demandado desacelera al llegar a la encrucijada al ver la motocicleta del Sr. Baibona (testigo), ubicada en lugar más próximo a su visión y apenas adelantada a la del actor, que esa disminución prácticamente a cero de la velocidad es interpretada como una cesión espontánea del paso, de lo que se deduce que habiendo circulado la primer motocicleta; la del actor que se encontraba inmediatamente detrás es embestida en su parte trasera debido a que el accionado no la vio, sino que cedió el paso al motovehículo de mayor porte, y reinició su marcha sin reparar en el que se encontraba inmediatamente detrás, provocando el accidente.</w:t>
      </w:r>
    </w:p>
    <w:p>
      <w:pPr>
        <w:pStyle w:val="[Normal]"/>
        <w:spacing w:line="360" w:lineRule="auto"/>
        <w:ind w:firstLine="1134"/>
        <w:jc w:val="both"/>
        <w:rPr>
          <w:lang w:val="es-AR" w:eastAsia="es-AR" w:bidi="es-AR"/>
        </w:rPr>
      </w:pPr>
      <w:r>
        <w:rPr>
          <w:lang w:val="es-AR" w:eastAsia="es-AR" w:bidi="es-AR"/>
        </w:rPr>
        <w:t xml:space="preserve">Aduce que de la pericial planimétrica realizada, surge que el automotor del demandado presentaba rotura de óptica delantera derecha, raspones en el paragolpes delantero y vagueta desenganchada del lado derecho, lo cual, sumado al sentido de circulación del mismo permitiría afirmar que solo pudo haber embestido al actor cuando este se encontraba finalizando el cruce.</w:t>
      </w:r>
    </w:p>
    <w:p>
      <w:pPr>
        <w:pStyle w:val="[Normal]"/>
        <w:spacing w:line="360" w:lineRule="auto"/>
        <w:ind w:firstLine="1134"/>
        <w:jc w:val="both"/>
        <w:rPr>
          <w:lang w:val="es-AR" w:eastAsia="es-AR" w:bidi="es-AR"/>
        </w:rPr>
      </w:pPr>
      <w:r>
        <w:rPr>
          <w:lang w:val="es-AR" w:eastAsia="es-AR" w:bidi="es-AR"/>
        </w:rPr>
        <w:t xml:space="preserve">Considera asimismo que las afirmaciones realizadas por el testigo directo del accidente de tránsito, el Sr. Baibona, han sido rechazadas con un débil fundamento por parte del juzgador, aún cuando la declaración testimonial claramente da cuenta de las distintas circunstancias que surgen de la pericia accidentológica.</w:t>
      </w:r>
    </w:p>
    <w:p>
      <w:pPr>
        <w:pStyle w:val="[Normal]"/>
        <w:spacing w:line="360" w:lineRule="auto"/>
        <w:ind w:firstLine="1134"/>
        <w:jc w:val="both"/>
        <w:rPr>
          <w:lang w:val="es-AR" w:eastAsia="es-AR" w:bidi="es-AR"/>
        </w:rPr>
      </w:pPr>
      <w:r>
        <w:rPr>
          <w:lang w:val="es-AR" w:eastAsia="es-AR" w:bidi="es-AR"/>
        </w:rPr>
        <w:t xml:space="preserve">Se agravia finalmente de la desestimación en el fallo de la existencia de algún grado de culpa concurrente ya que quien embiste con la parte delantera de un rodado a la parte de atrás o de costado de otro vehículo, carga con una presunción de culpa.</w:t>
      </w:r>
    </w:p>
    <w:p>
      <w:pPr>
        <w:pStyle w:val="[Normal]"/>
        <w:spacing w:line="360" w:lineRule="auto"/>
        <w:ind w:firstLine="1134"/>
        <w:jc w:val="both"/>
        <w:rPr>
          <w:lang w:val="es-AR" w:eastAsia="es-AR" w:bidi="es-AR"/>
        </w:rPr>
      </w:pPr>
      <w:r>
        <w:rPr>
          <w:lang w:val="es-AR" w:eastAsia="es-AR" w:bidi="es-AR"/>
        </w:rPr>
        <w:t xml:space="preserve">Consigna jurisprudencia y efectúa reserva del Caso Federal peticionando se condene solidariamente a la parte demandada y a la citada en garantía al pago de las indemnizaciones reclamadas, con expresa imposición de costas, subsidiariamente se distribuya la culpa y responsabilidad del accidente en las proporciones de 50% para cada parte.</w:t>
      </w:r>
    </w:p>
    <w:p>
      <w:pPr>
        <w:pStyle w:val="[Normal]"/>
        <w:spacing w:line="360" w:lineRule="auto"/>
        <w:ind w:firstLine="1134"/>
        <w:jc w:val="both"/>
        <w:rPr>
          <w:lang w:val="es-AR" w:eastAsia="es-AR" w:bidi="es-AR"/>
        </w:rPr>
      </w:pPr>
      <w:r>
        <w:rPr>
          <w:lang w:val="es-AR" w:eastAsia="es-AR" w:bidi="es-AR"/>
        </w:rPr>
        <w:t xml:space="preserve">En fecha 18/3/2021 se confirió el traslado pertinente, que quedara incontestado por la contraparte, a quien se dio por perdido el derecho dejado de usar.</w:t>
      </w:r>
    </w:p>
    <w:p>
      <w:pPr>
        <w:pStyle w:val="[Normal]"/>
        <w:spacing w:line="360" w:lineRule="auto"/>
        <w:ind w:firstLine="1134"/>
        <w:jc w:val="both"/>
        <w:rPr>
          <w:lang w:val="es-AR" w:eastAsia="es-AR" w:bidi="es-AR"/>
        </w:rPr>
      </w:pPr>
      <w:r>
        <w:rPr>
          <w:lang w:val="es-AR" w:eastAsia="es-AR" w:bidi="es-AR"/>
        </w:rPr>
        <w:t xml:space="preserve">En fecha 6/4/2021 se dictó el llamamiento de autos, que habiendo adquirido firmeza, deja la causa en condiciones de ser fallada.</w:t>
      </w:r>
    </w:p>
    <w:p>
      <w:pPr>
        <w:pStyle w:val="[Normal]"/>
        <w:spacing w:line="360" w:lineRule="auto"/>
        <w:ind w:firstLine="1134"/>
        <w:jc w:val="both"/>
        <w:rPr>
          <w:lang w:val="es-AR" w:eastAsia="es-AR" w:bidi="es-AR"/>
        </w:rPr>
      </w:pPr>
      <w:r>
        <w:rPr>
          <w:lang w:val="es-AR" w:eastAsia="es-AR" w:bidi="es-AR"/>
        </w:rPr>
        <w:t xml:space="preserve">Entrando ya a la cuestión a resolver, como señala el apelante  las circunstancias de tiempo, lugar y partícipes del hecho, tal como lo ha tenido por acreditado el sentenciante, no están en discusión, esto es que el "... día 01 de noviembre de 2017, aproximadamente a las 13:05 horas, el Sr. Sanchez Molina circulaba por calle Jujuy de Pergamino, al mando de su motocicleta marca Honda Wave dominio 507-JPW, en sentido sureste-noreste. Que, el Sr. Novarese, circulaba por calle Montevideo al mando de su automotor marca Chevolet Corsa dominio FAB-417, en dirección noreste-suroeste. Que, en la intersección de las referidas arterias ambos vehículos protagonizaron un accidente..".-</w:t>
      </w:r>
    </w:p>
    <w:p>
      <w:pPr>
        <w:pStyle w:val="[Normal]"/>
        <w:spacing w:line="360" w:lineRule="auto"/>
        <w:ind w:firstLine="1134"/>
        <w:jc w:val="both"/>
        <w:rPr>
          <w:lang w:val="es-AR" w:eastAsia="es-AR" w:bidi="es-AR"/>
        </w:rPr>
      </w:pPr>
      <w:r>
        <w:rPr>
          <w:lang w:val="es-AR" w:eastAsia="es-AR" w:bidi="es-AR"/>
        </w:rPr>
        <w:t xml:space="preserve">Asimismo, la mecánica del hecho, ha sido descripta también en la sentencia en base a la prueba pericial mecánica presentada en autos en fecha 17/09/2020, la cual ratifica en un todo lo asentado en la pericia accidentológica realizada en causa penal N°7928/17 caratulada "Novarese Norberto Antonio s/ Lesiones culposas", que fuera ofrecida como prueba por todas las partes, de la cual emergen los datos fácticos y objetivos surgidos de la misma, y que en forma general, se desprende que " De lo analizado se deduce que el automóvil Chevrolet reviste el carácter embistente - físico – mecánico, mientras que la motocicleta Honda reviste el carácter de embestido físico - mecánico. Cabe aclarar que el carácter participativo de los vehículos se determina desde el punto de vista técnico – accidentológico siendo el embestidor aquel que posee sus daños sobre el frente de avance, dejando expresa constancia que el carácter participativo es independiente de la culpa y/o responsabilidad que le pueda o no corresponder a cada uno de los conductores desde el punto de vista jurídico. 3) Tal como lo describe el cálculo realizado en IPP fs. 67 vta. la velocidad mínima comprobable al inicio de la huella de bloqueo del automóvil Chevrolet es de 20,23 km/h. Este profesional carece de elementos técnicos objetivos para determinar la velocidad de circulación de la motocicleta Honda previo al siniestro. 4) La motocicleta Honda circulaba previo al siniestro por calle Jujuy en dirección “sureste – noroeste”. 5) El automóvil Chevrolet circulaba previo al siniestro por calle Montevideo en dirección “noreste – suroeste”. 6) Considerando la dirección de avance del automóvil Chevrolet, la motocicleta Honda entra a la encrucijada de izquierda a derecha de dicho automóvil; mientras que considerando la dirección de avance de la motocicleta Honda, el automóvil Chevrolet entra a la encrucijada de derecha a izquierda de dicha motocicleta ...".-</w:t>
      </w:r>
    </w:p>
    <w:p>
      <w:pPr>
        <w:pStyle w:val="[Normal]"/>
        <w:spacing w:line="360" w:lineRule="auto"/>
        <w:ind w:firstLine="1134"/>
        <w:jc w:val="both"/>
        <w:rPr>
          <w:lang w:val="es-AR" w:eastAsia="es-AR" w:bidi="es-AR"/>
        </w:rPr>
      </w:pPr>
      <w:r>
        <w:rPr>
          <w:lang w:val="es-AR" w:eastAsia="es-AR" w:bidi="es-AR"/>
        </w:rPr>
        <w:t xml:space="preserve">Por lo demás, entiendo que el juzgador ha sido minucioso y claro al desarrollar y analizar las probanzas, como para llegar al veredicto de rechazo de la demanda, sobre los que los  argumentos expuestos por el memoralista no logran conmover.-</w:t>
      </w:r>
    </w:p>
    <w:p>
      <w:pPr>
        <w:pStyle w:val="[Normal]"/>
        <w:spacing w:line="360" w:lineRule="auto"/>
        <w:ind w:firstLine="1134"/>
        <w:jc w:val="both"/>
        <w:rPr>
          <w:lang w:val="es-AR" w:eastAsia="es-AR" w:bidi="es-AR"/>
        </w:rPr>
      </w:pPr>
      <w:r>
        <w:rPr>
          <w:lang w:val="es-AR" w:eastAsia="es-AR" w:bidi="es-AR"/>
        </w:rPr>
        <w:t xml:space="preserve">   En efecto, no está en discusión que en la especie se trata de un accidente de locomotores, por lo que ha de regir la doctrina de la responsabilidad  objetiva por el riesgo creado, regulado por el  art.  1113 del Cód. Civil, segundo apartado, por lo que la atribución de responsabilidad es objetiva. Los automotores (debiendo incluirse aquí también los ciclomotores)  en movimiento son considerados productores de riesgo, resultando de aplicación la teoría del riesgo creado, en virtud de la misma, cada dueño o guardián debe  resarcir  los daños causados a otro, salvo que acredite la  concurrencia de las excepciones legalmente previstas que permitan eximirlo total o parcialmente, esto es que la culpa de la víctima o de un  tercero por el que no deba responder, haya interrumpido total o parcialmente el nexo de causalidad entre el hecho de la cosa riesgosa y el daño (art. 1113 in fine del Cód. Civil).-</w:t>
      </w:r>
    </w:p>
    <w:p>
      <w:pPr>
        <w:pStyle w:val="[Normal]"/>
        <w:spacing w:line="360" w:lineRule="auto"/>
        <w:ind w:firstLine="1134"/>
        <w:jc w:val="both"/>
        <w:rPr>
          <w:lang w:val="es-AR" w:eastAsia="es-AR" w:bidi="es-AR"/>
        </w:rPr>
      </w:pPr>
      <w:r>
        <w:rPr>
          <w:lang w:val="es-AR" w:eastAsia="es-AR" w:bidi="es-AR"/>
        </w:rPr>
        <w:t xml:space="preserve">    Y, aquí se trata de aplicar la  teoría del riesgo creado, a partir de  la  concurrencia de dos vehículos en movimiento con riesgos  recíprocos, de tal modo que si bien se presume la culpa  de cada  uno  respecto de los daños del otro, conjuntamente puede analizarse si el hecho de la víctima fue la  causa  adecuada  del accidente.-</w:t>
      </w:r>
    </w:p>
    <w:p>
      <w:pPr>
        <w:pStyle w:val="[Normal]"/>
        <w:spacing w:line="360" w:lineRule="auto"/>
        <w:ind w:firstLine="1134"/>
        <w:jc w:val="both"/>
        <w:rPr>
          <w:lang w:val="es-AR" w:eastAsia="es-AR" w:bidi="es-AR"/>
        </w:rPr>
      </w:pPr>
      <w:r>
        <w:rPr>
          <w:lang w:val="es-AR" w:eastAsia="es-AR" w:bidi="es-AR"/>
        </w:rPr>
        <w:t xml:space="preserve">   Al respecto, debo señalar que la preferencia de paso del conductor que arriba por la derecha  de  la encrucijada,  si  bien  no  funciona  en  el  vacío, constituye una regla fundamental y también de carácter objetivo, en orden a analizar y decidir la responsabilidad que corresponde en una colisión entre  automotores,  conforme  la  normativa  del art. 1113 del Cód. Civil.  Es que se trata, no solo de un principio de  seguridad  en  el tránsito, sino de una regla de convivencia  social  establecida  por el legislador. Además, las normas de tránsito no son puras declaraciones  académicas o requisitos para aprobar un examen habilitante,  sino  que  están  dadas  para  ser cumplidas,  por  lo que corresponde considerarlas en el plexo de circunstancias atinentes, en oportunidad de  decidir  la  responsabilidad.  (CCI  Art.   1113 CC0201LP,  B  79926,  RSD  96-95,  S, 2-5-1995, Juez CRESPI  (SD) CARATULA Maiztegui, Miguel Angel c/Benvenuto Julio César y otro s/Daños y  Perjuicios  MAG Votantes Crespi-Sosa).-</w:t>
      </w:r>
    </w:p>
    <w:p>
      <w:pPr>
        <w:pStyle w:val="[Normal]"/>
        <w:spacing w:line="360" w:lineRule="auto"/>
        <w:ind w:firstLine="1134"/>
        <w:jc w:val="both"/>
        <w:rPr>
          <w:lang w:val="es-AR" w:eastAsia="es-AR" w:bidi="es-AR"/>
        </w:rPr>
      </w:pPr>
      <w:r>
        <w:rPr>
          <w:lang w:val="es-AR" w:eastAsia="es-AR" w:bidi="es-AR"/>
        </w:rPr>
        <w:t xml:space="preserve">  De tal manera "Quien pretende  soslayar la regla que obliga a ceder el paso del vehículo que se  presenta por la derecha, debe aportar concluyentes pruebas en apoyo de su tesis, pues se  trata  de nada menos que de invalidar  la  aplicación  de  una norma positiva. Y esto es así, porque  el  conductor que tiene preferencia de paso puede creer, con justa razón que quien guía el otro automóvil, obligado a conocer las disposiciones  vigentes  se lo cedería (art. 20 Cód. Civil), por lo que continúa su  marcha normal y al ocurrir la transgresión se ve sorprendido por esa irregular conducta,  lo  cual  le  impide contar con el tiempo necesario para maniobrar y evitar el choque" ( Cfr C.C. L.P. B 69976 R.S.D. 188-90).-</w:t>
      </w:r>
    </w:p>
    <w:p>
      <w:pPr>
        <w:pStyle w:val="[Normal]"/>
        <w:spacing w:line="360" w:lineRule="auto"/>
        <w:ind w:firstLine="1134"/>
        <w:jc w:val="both"/>
        <w:rPr>
          <w:lang w:val="es-AR" w:eastAsia="es-AR" w:bidi="es-AR"/>
        </w:rPr>
      </w:pPr>
      <w:r>
        <w:rPr>
          <w:lang w:val="es-AR" w:eastAsia="es-AR" w:bidi="es-AR"/>
        </w:rPr>
        <w:t xml:space="preserve">               A mayor abundamiento (y como lo ha señalado el juzgador primero) es doctrina legal de la Suprema Corte de Justicia de la  Provincia de Buenos Aires que tanto "el art. 71 de la ley 5800 como el art. 57 de la ley 11.430, imponen al conductor que llegue a una bocacalle la obligación de  reducir sensiblemente la velocidad y la  de  ceder  el paso al vehículo que se presente por  su  derecha  y ello es así sin discriminar quien fue el primero que llegó a la bocacalle" (Ac 47.547).  En  efecto,  interpretando el primero de los dispositivos  legales, puntualiza el ministro Hitters que  "se  impone  una obligación a todo conductor que enfrenta una  encrucijada o bocacalle: disminuír sensiblemente la velocidad, que en buen romance significa casi detener la marcha. Ello  apareja  una  obligación  adicional  a quien se presenta por la izquierda: la de  ceder  el paso.  No  están condicionadas al arribo simultáneo, desde que comprobar tales circunstancias impondría -en  los  hechos-  la  colocación  de  sensores  para constatarlo.  El  texto  legal es lo suficientemente claro al respecto: quien viene por la izquierda sólo podrá continuar su marcha  si  luego  de  frenar  su marcha  hasta casi detenerla, advierte que no circulan autos con  prioridad  de  paso.  La  actual  ley 11.430 en su artículo 57 mantiene esos mismos lineamientos enfatizando por si hacía falta  el  carácter absoluto  de la prioridad ..." -Cfr. Ac. 58.668, 11-3-97 y 47.547, 31-8-93 Jorge Galdós, Derecho de  Daños en la Suprema Corte de Justicia de la  Pcia.  de Buenos Aires, pág. 325-.</w:t>
      </w:r>
    </w:p>
    <w:p>
      <w:pPr>
        <w:pStyle w:val="[Normal]"/>
        <w:spacing w:line="360" w:lineRule="auto"/>
        <w:ind w:firstLine="1134"/>
        <w:jc w:val="both"/>
        <w:rPr>
          <w:lang w:val="es-AR" w:eastAsia="es-AR" w:bidi="es-AR"/>
        </w:rPr>
      </w:pPr>
      <w:r>
        <w:rPr>
          <w:lang w:val="es-AR" w:eastAsia="es-AR" w:bidi="es-AR"/>
        </w:rPr>
        <w:t xml:space="preserve">Por ello, entiendo que la regla de prioridad de paso debe ser sometida a la valoración derivada de las circunstancias, y para ello resulta de importancia el análisis de la prueba producida en punto a la pericia accidentológica mencionada en la queja ensayada por  la  parte actora.-</w:t>
      </w:r>
    </w:p>
    <w:p>
      <w:pPr>
        <w:pStyle w:val="[Normal]"/>
        <w:spacing w:line="360" w:lineRule="auto"/>
        <w:ind w:firstLine="1134"/>
        <w:jc w:val="both"/>
        <w:rPr>
          <w:lang w:val="es-AR" w:eastAsia="es-AR" w:bidi="es-AR"/>
        </w:rPr>
      </w:pPr>
      <w:r>
        <w:rPr>
          <w:lang w:val="es-AR" w:eastAsia="es-AR" w:bidi="es-AR"/>
        </w:rPr>
        <w:t xml:space="preserve">  Ello así, no puedo atender las razones  aportadas por el apelante, en miras a lograr la revocación del fallo con la atribución de responsabilidad al demandado, que la prioridad de paso no es una regla absoluta y que el automotor había perdido la misma, en tanto su parte considera configurada la excepción a la regla por haber el automotor que detentaba tal preferencia de paso detenido su marcha, para dar paso a la motocicleta.</w:t>
      </w:r>
    </w:p>
    <w:p>
      <w:pPr>
        <w:pStyle w:val="[Normal]"/>
        <w:spacing w:line="360" w:lineRule="auto"/>
        <w:ind w:firstLine="1134"/>
        <w:jc w:val="both"/>
        <w:rPr>
          <w:lang w:val="es-AR" w:eastAsia="es-AR" w:bidi="es-AR"/>
        </w:rPr>
      </w:pPr>
      <w:r>
        <w:rPr>
          <w:lang w:val="es-AR" w:eastAsia="es-AR" w:bidi="es-AR"/>
        </w:rPr>
        <w:t xml:space="preserve">Es que en primer lugar, de la pericia ya referenciada, determina que "... la velocidad mínima comprobable al inicio de la huella de bloqueo del automóvil Chevrolet es de 20,23 km/h ..." , es decir que estaba en movimiento.-</w:t>
      </w:r>
    </w:p>
    <w:p>
      <w:pPr>
        <w:pStyle w:val="[Normal]"/>
        <w:spacing w:line="360" w:lineRule="auto"/>
        <w:ind w:firstLine="1134"/>
        <w:jc w:val="both"/>
        <w:rPr>
          <w:lang w:val="es-AR" w:eastAsia="es-AR" w:bidi="es-AR"/>
        </w:rPr>
      </w:pPr>
      <w:r>
        <w:rPr>
          <w:lang w:val="es-AR" w:eastAsia="es-AR" w:bidi="es-AR"/>
        </w:rPr>
        <w:t xml:space="preserve">En lo que respecta a la valoración del único testigo ofrecido por la apelante, he de destacar (como ya lo he señalado en otras oportunidades) ,que "...  la apreciación de los elementos probatorios, la selección de los mismos y la atribución de la jerarquía que les corresponde es facultad propia de los jueces de grado, quienes pueden sin incurrir en absurdo, inclinarse hacia unas y descartar otras, sin necesidad de expresar en la sentencia la valoración de todas (arts. 31 bis, ley 5.827, texto según ley 13.812 y 279, C.P.C.C.) (SCBA LP Rc 119965 I 01/07/2015,  Rc 119606 I 24/06/2015 ,  Rc 119777 I 03/06/2015, LP Rc 119696 I 06/05/2015, Rc 119401 I 26/03/2015,  Rc 118911 I 04/02/2015, Rc 119089 I 10/12/2014, Rc 118800 I 02/07/2014,  Rc 109856 I 06/06/2011, Rc 110698 I 01/06/2011)  JUBA  B3901559).-</w:t>
      </w:r>
    </w:p>
    <w:p>
      <w:pPr>
        <w:pStyle w:val="[Normal]"/>
        <w:spacing w:line="360" w:lineRule="auto"/>
        <w:ind w:firstLine="1134"/>
        <w:jc w:val="both"/>
        <w:rPr>
          <w:lang w:val="es-AR" w:eastAsia="es-AR" w:bidi="es-AR"/>
        </w:rPr>
      </w:pPr>
      <w:r>
        <w:rPr>
          <w:lang w:val="es-AR" w:eastAsia="es-AR" w:bidi="es-AR"/>
        </w:rPr>
        <w:t xml:space="preserve">Aquí y , en relación al testigo único que ha traído su parte, y como bien lo señala el sentenciante  "... en su declaración testimonial el Sr. Baibona -testigo presencial del hecho- declaró que no sabía si el actor frenó al llegar a la intersección de las calles Montevideo y Jujuy (art. 375 del C.P.C.), incumpliendo el deber de reducir sensiblemente la velocidad ..."  pese a que según relatara venían en forma paralela, pero que él tenía una "moto mas grande" y por eso alcanzó a pasar.-</w:t>
      </w:r>
    </w:p>
    <w:p>
      <w:pPr>
        <w:pStyle w:val="[Normal]"/>
        <w:spacing w:line="360" w:lineRule="auto"/>
        <w:ind w:firstLine="1134"/>
        <w:jc w:val="both"/>
        <w:rPr>
          <w:lang w:val="es-AR" w:eastAsia="es-AR" w:bidi="es-AR"/>
        </w:rPr>
      </w:pPr>
      <w:r>
        <w:rPr>
          <w:lang w:val="es-AR" w:eastAsia="es-AR" w:bidi="es-AR"/>
        </w:rPr>
        <w:t xml:space="preserve">A su vez, también advierto que  en su declaración ha dicho que él cree que el demandado había cedido el paso, pero lo expresa como a su "entender" porque el mismo testigo relata que el conductor "desacelera", es decir que es lo que el declarante entendió subjetivamente, pero ello no quiere decir que diera el paso, y por otra parte ello coincide con  lo señalado en la pericia mecánica acerca de que la velocidad del automotor chevrolet, era baja concretamente de 20,23 km/h, y ello no implica que hubiera detenido su marcha, y ser por ello excepción a la regla de prioridad de paso ya expuesta.</w:t>
      </w:r>
    </w:p>
    <w:p>
      <w:pPr>
        <w:pStyle w:val="[Normal]"/>
        <w:spacing w:line="360" w:lineRule="auto"/>
        <w:ind w:firstLine="1134"/>
        <w:jc w:val="both"/>
        <w:rPr>
          <w:lang w:val="es-AR" w:eastAsia="es-AR" w:bidi="es-AR"/>
        </w:rPr>
      </w:pPr>
      <w:r>
        <w:rPr>
          <w:lang w:val="es-AR" w:eastAsia="es-AR" w:bidi="es-AR"/>
        </w:rPr>
        <w:t xml:space="preserve">Es decir que la interpretación del testigo, al ser su percepción particular, el hecho de que pasó antes en tanto estaba adelantado a la conducción del Sr. Sanchez, no puede erigirse en prueba suficiente de la pérdida de la prioridad de paso que tenía en la ocasión el demandado, Sr. Novarese, tal como lo decidiera la sentencia anterior.-</w:t>
      </w:r>
    </w:p>
    <w:p>
      <w:pPr>
        <w:pStyle w:val="[Normal]"/>
        <w:spacing w:line="360" w:lineRule="auto"/>
        <w:ind w:firstLine="1134"/>
        <w:jc w:val="both"/>
        <w:rPr>
          <w:lang w:val="es-AR" w:eastAsia="es-AR" w:bidi="es-AR"/>
        </w:rPr>
      </w:pPr>
      <w:r>
        <w:rPr>
          <w:lang w:val="es-AR" w:eastAsia="es-AR" w:bidi="es-AR"/>
        </w:rPr>
        <w:t xml:space="preserve">Asimismo, he de agregar y como lo he sostenido en causa N° 2630-16  caratulados "GAMBOY FACUNDO CRUZ C/ MARTIRE HECTOR JULIO Y OTROS S/DAÑOS Y PERJ.AUTOM. C/LES. O MUERTE ", en donde he restado credibilidad al testigo que "... no depusiera en la causa penal, ya que si estaba cerca del lugar del accidente lo usual y lógico es que fuera requerida por la autoridad policial su declaración inmediata, sin embargo ello no ocurrió y recién al tramitar el presente se lo ofrece como testigo".</w:t>
      </w:r>
    </w:p>
    <w:p>
      <w:pPr>
        <w:pStyle w:val="[Normal]"/>
        <w:spacing w:line="360" w:lineRule="auto"/>
        <w:ind w:firstLine="1134"/>
        <w:jc w:val="both"/>
        <w:rPr>
          <w:lang w:val="es-AR" w:eastAsia="es-AR" w:bidi="es-AR"/>
        </w:rPr>
      </w:pPr>
      <w:r>
        <w:rPr>
          <w:lang w:val="es-AR" w:eastAsia="es-AR" w:bidi="es-AR"/>
        </w:rPr>
        <w:t xml:space="preserve">El relato del único testigo al que acude el apelante no alcanza a conmover el resultado del informe, por la vaguedad de su declaración, porque sostiene una maniobra de detención de parte del demandado que no se encuentra corroborada en el informe pericial y que según  sus dichos la acción de ceder el paso a él y al actor es una apreciación meramente subjetiva de su parte y como tal no relevante en tanto no hay otra prueba coincidente a lo largo del proceso civil y penal.-</w:t>
      </w:r>
    </w:p>
    <w:p>
      <w:pPr>
        <w:pStyle w:val="[Normal]"/>
        <w:spacing w:line="360" w:lineRule="auto"/>
        <w:ind w:firstLine="1134"/>
        <w:jc w:val="both"/>
        <w:rPr>
          <w:lang w:val="es-AR" w:eastAsia="es-AR" w:bidi="es-AR"/>
        </w:rPr>
      </w:pPr>
      <w:r>
        <w:rPr>
          <w:lang w:val="es-AR" w:eastAsia="es-AR" w:bidi="es-AR"/>
        </w:rPr>
        <w:t xml:space="preserve">Sabido es que el testimonio debe ser apreciado en función de los diversos elementos que lo integran: percepción, memoria y comunicación, sopesando las condiciones individuales y genéricas del testigo; ambas condiciones en definitiva, dependen de la naturaleza del hecho atestiguado, es decir que sea más o menor verosímil, más o menos fácil de percibir y recordar, de acuerdo a las circunstancias, tiempo, lugar, velocidad, luz (Cam. Nac. Civil Sala F) Der. v. 92p. 334.-</w:t>
      </w:r>
    </w:p>
    <w:p>
      <w:pPr>
        <w:pStyle w:val="[Normal]"/>
        <w:spacing w:line="360" w:lineRule="auto"/>
        <w:ind w:firstLine="1134"/>
        <w:jc w:val="both"/>
        <w:rPr>
          <w:lang w:val="es-AR" w:eastAsia="es-AR" w:bidi="es-AR"/>
        </w:rPr>
      </w:pPr>
      <w:r>
        <w:rPr>
          <w:lang w:val="es-AR" w:eastAsia="es-AR" w:bidi="es-AR"/>
        </w:rPr>
        <w:t xml:space="preserve">La eficacia de la prueba testimonial debe ser apreciada en su conjunto con el resto de las declaraciones y con los demás medios de prueba, de acuerdo a las reglas de la sana critica (art. 386 del CPCC y su doctrina).  Y como regla insistir en una apreciación integral tomando a la testimonial como parte de un todo, desde que las declaraciones no son compartimentos estancos.  La atomización de cada contestación conduce al polo opuesto de lo que es la sana crítica, y a es esta última cabe gobernar siempre la apreciación y valoración de los dichos en cuestión.  Cfr Cam Nac. esp. Civ. Sala I La Ley 1983, v. C. p. 225.-</w:t>
      </w:r>
    </w:p>
    <w:p>
      <w:pPr>
        <w:pStyle w:val="[Normal]"/>
        <w:spacing w:line="360" w:lineRule="auto"/>
        <w:ind w:firstLine="1134"/>
        <w:jc w:val="both"/>
        <w:rPr>
          <w:lang w:val="es-AR" w:eastAsia="es-AR" w:bidi="es-AR"/>
        </w:rPr>
      </w:pPr>
      <w:r>
        <w:rPr>
          <w:lang w:val="es-AR" w:eastAsia="es-AR" w:bidi="es-AR"/>
        </w:rPr>
        <w:t xml:space="preserve">De ello se sigue que no puedo admitir como pretende el quejoso que la declaración testimonial derribe las conclusiones de la experticia que propugna conclusión diferente.-</w:t>
      </w:r>
    </w:p>
    <w:p>
      <w:pPr>
        <w:pStyle w:val="[Normal]"/>
        <w:spacing w:line="360" w:lineRule="auto"/>
        <w:ind w:firstLine="1134"/>
        <w:jc w:val="both"/>
        <w:rPr>
          <w:lang w:val="es-AR" w:eastAsia="es-AR" w:bidi="es-AR"/>
        </w:rPr>
      </w:pPr>
      <w:r>
        <w:rPr>
          <w:lang w:val="es-AR" w:eastAsia="es-AR" w:bidi="es-AR"/>
        </w:rPr>
        <w:t xml:space="preserve">Concluyendo entonces, el automotor guiado por el demandado tenía la prioridad de paso, lo que indica como contrapartida  para el otro que, quien viene por la izquierda solo podría continuar su marcha si luego  de  frenar hasta casi detenerla, advierte que no circulan autos con prioridad de paso; lo que no  está  condicionado al arribo simultáneo a la encrucijada desde que ello impondría -en el hecho- la  colocación  de  sensores para  constatarlo.  (Cfr SCBA Ac 56668 S). De lo que se  sigue  que la actora quebrantó el deber de precaución que procura atender la  regla del art. 57 de la ley 11.430 (aplicable a la fecha del hecho), que le imponía  reducir sensiblemente la velocidad al llegar a la  encrucijada y la de ceder el paso al vehículo que se  presentaba por su derecha.-</w:t>
      </w:r>
    </w:p>
    <w:p>
      <w:pPr>
        <w:pStyle w:val="[Normal]"/>
        <w:spacing w:line="360" w:lineRule="auto"/>
        <w:ind w:firstLine="1134"/>
        <w:jc w:val="both"/>
        <w:rPr>
          <w:lang w:val="es-AR" w:eastAsia="es-AR" w:bidi="es-AR"/>
        </w:rPr>
      </w:pPr>
      <w:r>
        <w:rPr>
          <w:lang w:val="es-AR" w:eastAsia="es-AR" w:bidi="es-AR"/>
        </w:rPr>
        <w:t xml:space="preserve">Tampoco, resulta excepción al principio  la ubicación de los daños, en tanto que y tal como se observa en las fotografias de Fs.  24, como del informe pericial accidentológico a Fs. 65 vta. y 66, ambos de la ya mencionda causa penal, los daños  del automotor no se encuentran sólo en la parte frontal derecha, como expone el apelante, sino que la pericia señala que el "... automóvil Chevrolet corsa presenta los daños sobre su zona frontal, detallándose allí los principales signos de contacto y deformación , afectando principalmente paragolpes (donde se observa transferencia de pintura) chapa patente y sobre la zona excéntrica derecha donde se observa rotura de óptica con restos símil hemáticos".-</w:t>
      </w:r>
    </w:p>
    <w:p>
      <w:pPr>
        <w:pStyle w:val="[Normal]"/>
        <w:spacing w:line="360" w:lineRule="auto"/>
        <w:ind w:firstLine="1134"/>
        <w:jc w:val="both"/>
        <w:rPr>
          <w:lang w:val="es-AR" w:eastAsia="es-AR" w:bidi="es-AR"/>
        </w:rPr>
      </w:pPr>
      <w:r>
        <w:rPr>
          <w:lang w:val="es-AR" w:eastAsia="es-AR" w:bidi="es-AR"/>
        </w:rPr>
        <w:t xml:space="preserve">Por ello, de acuerdo a las reglas de responsabilidad desarrolladas supra, entiendo como el juzgador primero que, el hecho de la propia reclamante, esto es emprender el cruce de una bocacalle, en transgresión a la prioridad de paso que tenía el automotor guiado por el demandado, fue  la  causa  adecuada  del  siniestro descripto, atendiendo al principio de la  causalidad adecuada que es dable  analizar  en  la  teoría  del riesgo creado, lo cual se erige en interrupción del nexo de causalidad.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en todo la sentencia dictada en la anterior instancia.</w:t>
      </w:r>
    </w:p>
    <w:p>
      <w:pPr>
        <w:pStyle w:val="[Normal]"/>
        <w:spacing w:line="360" w:lineRule="auto"/>
        <w:ind w:firstLine="1134"/>
        <w:jc w:val="both"/>
        <w:rPr>
          <w:lang w:val="es-AR" w:eastAsia="es-AR" w:bidi="es-AR"/>
        </w:rPr>
      </w:pPr>
      <w:r>
        <w:rPr>
          <w:lang w:val="es-AR" w:eastAsia="es-AR" w:bidi="es-AR"/>
        </w:rPr>
        <w:t xml:space="preserve">Costas a la apelante que resulta perdidosa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del letrado interviniente por las tareas de Alzada para el momento en que adquieran firmeza los estipendios fijados en la anterior instancia (art.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Dres.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en todo la sentencia dictada en la anterior instancia.</w:t>
      </w:r>
    </w:p>
    <w:p>
      <w:pPr>
        <w:pStyle w:val="[Normal]"/>
        <w:spacing w:line="360" w:lineRule="auto"/>
        <w:ind w:firstLine="1134"/>
        <w:jc w:val="both"/>
        <w:rPr>
          <w:lang w:val="es-AR" w:eastAsia="es-AR" w:bidi="es-AR"/>
        </w:rPr>
      </w:pPr>
      <w:r>
        <w:rPr>
          <w:lang w:val="es-AR" w:eastAsia="es-AR" w:bidi="es-AR"/>
        </w:rPr>
        <w:t xml:space="preserve">Costas a la apelante que resulta perdidosa (Art. 68 del C.P.C. y C.).</w:t>
      </w:r>
    </w:p>
    <w:p>
      <w:pPr>
        <w:pStyle w:val="[Normal]"/>
        <w:spacing w:line="360" w:lineRule="auto"/>
        <w:ind w:firstLine="1134"/>
        <w:jc w:val="both"/>
        <w:rPr>
          <w:lang w:val="es-AR" w:eastAsia="es-AR" w:bidi="es-AR"/>
        </w:rPr>
      </w:pPr>
      <w:r>
        <w:rPr>
          <w:lang w:val="es-AR" w:eastAsia="es-AR" w:bidi="es-AR"/>
        </w:rPr>
        <w:t xml:space="preserve">Diferir la regulación de honorarios del letrado interviniente por las tareas de Alzada para el momento en que adquieran firmeza los estipendios fijados en la anterior instancia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20307008131@NOTIFICACIONES.SCBA.GOV.AR</w:t>
      </w:r>
    </w:p>
    <w:p>
      <w:pPr>
        <w:pStyle w:val="[Normal]"/>
        <w:rPr>
          <w:color w:val="000000"/>
          <w:lang w:val="es-AR" w:eastAsia="es-AR" w:bidi="es-AR"/>
        </w:rPr>
      </w:pPr>
      <w:r>
        <w:rPr>
          <w:color w:val="000000"/>
          <w:lang w:val="es-AR" w:eastAsia="es-AR" w:bidi="es-AR"/>
        </w:rPr>
        <w:t xml:space="preserve">20307008980@NOTIFICACIONES.SCBA.GOV.AR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13/05/2021 10:14:08 -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13/05/2021 10:18:28 -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13/05/2021 10:19:25 -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13/05/2021 11:10:33 -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20307008131@NOTIFICACIONES.SCBA.GOV.AR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20307008980@NOTIFICACIONES.SCBA.GOV.AR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‰8:")è%0%ovŠ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242602090005160579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4183 - 21 - SANCHEZ MOLINA JUAN PABLO C/ NOVARESE NORBERTO ANTONIO Y OTRO/A S/ DAÑOS Y PERJ.AUTOM. C/LES. O MUERTE (EXC.ESTADO)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‰8:")è%0%ovŠ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242602090005160579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