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65/</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346/351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4193-21</w:t>
      </w:r>
      <w:r>
        <w:rPr>
          <w:lang w:val="es-AR" w:eastAsia="es-AR" w:bidi="es-AR"/>
        </w:rPr>
        <w:t xml:space="preserve"> caratulada </w:t>
      </w:r>
      <w:r>
        <w:rPr>
          <w:b/>
          <w:lang w:val="es-AR" w:eastAsia="es-AR" w:bidi="es-AR"/>
        </w:rPr>
        <w:t xml:space="preserve">"</w:t>
      </w:r>
      <w:r>
        <w:rPr>
          <w:b/>
          <w:color w:val="000000"/>
          <w:lang w:val="es-AR" w:eastAsia="es-AR" w:bidi="es-AR"/>
        </w:rPr>
        <w:t xml:space="preserve">CEREALES QUEMU S.A.  C/ CONSIGNATARIA JP SA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62412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instancia primera falló en las presentes actuaciones rechazando las excepciones de incompetencia, falta de legitimación activa, inhabilidad de título, compromiso y falta de personería opuestas mediante presentación electrónica de fecha 29/07/2020 y en consecuencia, mandó llevar adelante la ejecución hasta tanto el ejecutado CONSIGNATARIA JP S.A. haga al acreedor CEREALES QUEMU S.A.,  íntegro pago del capital reclamado de TRES MILLONES OCHOCIENTOS NUEVE MIL NOVECIENTOS OCHENTA Y CUATRO CON CUARENTA CTVOS. pesos ($3.809.984,40), con más intereses. Con costas. Difirió la regulación de honorarios de los profesionales intervinientes. </w:t>
      </w:r>
    </w:p>
    <w:p>
      <w:pPr>
        <w:pStyle w:val="[Normal]"/>
        <w:spacing w:line="360" w:lineRule="auto"/>
        <w:ind w:firstLine="1134"/>
        <w:jc w:val="both"/>
        <w:rPr>
          <w:lang w:val="es-AR" w:eastAsia="es-AR" w:bidi="es-AR"/>
        </w:rPr>
      </w:pPr>
      <w:r>
        <w:rPr>
          <w:lang w:val="es-AR" w:eastAsia="es-AR" w:bidi="es-AR"/>
        </w:rPr>
        <w:t xml:space="preserve">Disconforme con lo decidido apela el apoderado de la demandada el 18/12/2020, recurso que es concedido en relación y fundado el 12/01/2021.</w:t>
      </w:r>
    </w:p>
    <w:p>
      <w:pPr>
        <w:pStyle w:val="[Normal]"/>
        <w:spacing w:line="360" w:lineRule="auto"/>
        <w:ind w:firstLine="1134"/>
        <w:jc w:val="both"/>
        <w:rPr>
          <w:lang w:val="es-AR" w:eastAsia="es-AR" w:bidi="es-AR"/>
        </w:rPr>
      </w:pPr>
      <w:r>
        <w:rPr>
          <w:lang w:val="es-AR" w:eastAsia="es-AR" w:bidi="es-AR"/>
        </w:rPr>
        <w:t xml:space="preserve">Ingresados los autos a ésta Alzada el 25/02/2021, se llama a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Los agravios expuestos por el apoderado de la demandada, en principio consideran que el a-quo en la sentencia de autos ha vulnerado las garantías constitucionales invocadas, relativas a diversos derechos, y que por errores en el razonamiento se agravian los de propiedad y de defensa en juicio y, que desconociendo las circunstancias comprobadas, rechazó todos los hechos, las alegaciones y pruebas.</w:t>
      </w:r>
    </w:p>
    <w:p>
      <w:pPr>
        <w:pStyle w:val="[Normal]"/>
        <w:spacing w:line="360" w:lineRule="auto"/>
        <w:ind w:firstLine="1134"/>
        <w:jc w:val="both"/>
        <w:rPr>
          <w:lang w:val="es-AR" w:eastAsia="es-AR" w:bidi="es-AR"/>
        </w:rPr>
      </w:pPr>
      <w:r>
        <w:rPr>
          <w:lang w:val="es-AR" w:eastAsia="es-AR" w:bidi="es-AR"/>
        </w:rPr>
        <w:t xml:space="preserve">Manifiesta que el sentenciante omitió el tratamiento de cuestiones conducentes al arribo de una adecuada solución de la causa, sin atender  la numerosa documentación probatoria agregada, la oposición a su competencia por el actor, el contenido de las pruebas de las excepciones opuestas por el demandado, sin explicación alguna, como lo ordena el artículo 168 de la Constitución de la Prov. de Bs. As., desconociendo la voluntad de las partes en el Contrato de Cuenta Corriente, resultando la sentencia antijurídica y arbitraria.</w:t>
      </w:r>
    </w:p>
    <w:p>
      <w:pPr>
        <w:pStyle w:val="[Normal]"/>
        <w:spacing w:line="360" w:lineRule="auto"/>
        <w:ind w:firstLine="1134"/>
        <w:jc w:val="both"/>
        <w:rPr>
          <w:lang w:val="es-AR" w:eastAsia="es-AR" w:bidi="es-AR"/>
        </w:rPr>
      </w:pPr>
      <w:r>
        <w:rPr>
          <w:lang w:val="es-AR" w:eastAsia="es-AR" w:bidi="es-AR"/>
        </w:rPr>
        <w:t xml:space="preserve">Sostiene textualmente  que al actor </w:t>
      </w:r>
      <w:r>
        <w:rPr>
          <w:i/>
          <w:lang w:val="es-AR" w:eastAsia="es-AR" w:bidi="es-AR"/>
        </w:rPr>
        <w:t xml:space="preserve">"...le creyó todo, le permitió todo, sus excesos legales, le admitió hasta la mala fe y le toleró un “ardid” evitar la Ley de Mediación y cambiar de conducta y opinión para elegir el juez “natural”, eludir la Ley de Defensa del Consumidor, no admitir ninguna prueba en su contra, acceder al enriquecimiento sin causa, desconocer instrumentos públicos agregados al expediente y lo favoreció con una sentencia injusta.</w:t>
      </w:r>
      <w:r>
        <w:rPr>
          <w:lang w:val="es-AR" w:eastAsia="es-AR" w:bidi="es-AR"/>
        </w:rPr>
        <w:t xml:space="preserve">", violando así los arts. 18 y 19 de la C.N. </w:t>
      </w:r>
    </w:p>
    <w:p>
      <w:pPr>
        <w:pStyle w:val="[Normal]"/>
        <w:spacing w:line="360" w:lineRule="auto"/>
        <w:ind w:firstLine="1134"/>
        <w:jc w:val="both"/>
        <w:rPr>
          <w:lang w:val="es-AR" w:eastAsia="es-AR" w:bidi="es-AR"/>
        </w:rPr>
      </w:pPr>
      <w:r>
        <w:rPr>
          <w:lang w:val="es-AR" w:eastAsia="es-AR" w:bidi="es-AR"/>
        </w:rPr>
        <w:t xml:space="preserve">Dice que los 16 cheques no eran una sencilla ejecución de títulos valores, y que el a-quo debió leer sus antecedentes, que no era debatir la causa del título, era entender que por un contrato de Cuenta Corriente, anterior a la creación del valor ejecutado y que, por voluntad de las partes había nacido una limitación de sus atributos de literalidad etc., pero dice que el sentenciante prefirió privilegiar la celeridad y una supuesta economía procesal sobre la aplicación de lo establecido por los artículos 960, 1430 ss.cc. CCy C., art. 18 y 19 de la C.N. y otros textos legales.</w:t>
      </w:r>
    </w:p>
    <w:p>
      <w:pPr>
        <w:pStyle w:val="[Normal]"/>
        <w:spacing w:line="360" w:lineRule="auto"/>
        <w:ind w:firstLine="1134"/>
        <w:jc w:val="both"/>
        <w:rPr>
          <w:lang w:val="es-AR" w:eastAsia="es-AR" w:bidi="es-AR"/>
        </w:rPr>
      </w:pPr>
      <w:r>
        <w:rPr>
          <w:lang w:val="es-AR" w:eastAsia="es-AR" w:bidi="es-AR"/>
        </w:rPr>
        <w:t xml:space="preserve">Manifiesta que el magistrado dice que le asigna la competencia el actor porque éste lo eligió para litigar en Pergamino, olvidándose de la renuncia por oposición hecha mediante carta documento agregada en la causa el 23/4/2019, por lo que sostiene entonces que el actor rechazó y se opuso, y no eligió.</w:t>
      </w:r>
    </w:p>
    <w:p>
      <w:pPr>
        <w:pStyle w:val="[Normal]"/>
        <w:spacing w:line="360" w:lineRule="auto"/>
        <w:ind w:firstLine="1134"/>
        <w:jc w:val="both"/>
        <w:rPr>
          <w:lang w:val="es-AR" w:eastAsia="es-AR" w:bidi="es-AR"/>
        </w:rPr>
      </w:pPr>
      <w:r>
        <w:rPr>
          <w:lang w:val="es-AR" w:eastAsia="es-AR" w:bidi="es-AR"/>
        </w:rPr>
        <w:t xml:space="preserve">Considera incumplida por el magistrado la cuestión comprendida en el artículo 9 del C.C. y C. en cuanto al ejercicio de los Derechos y el principio de buena fe,  que implica el concepto de Abuso de Derechos, como bien la señala el art. 10 CCyC.</w:t>
      </w:r>
    </w:p>
    <w:p>
      <w:pPr>
        <w:pStyle w:val="[Normal]"/>
        <w:spacing w:line="360" w:lineRule="auto"/>
        <w:ind w:firstLine="1134"/>
        <w:jc w:val="both"/>
        <w:rPr>
          <w:lang w:val="es-AR" w:eastAsia="es-AR" w:bidi="es-AR"/>
        </w:rPr>
      </w:pPr>
      <w:r>
        <w:rPr>
          <w:lang w:val="es-AR" w:eastAsia="es-AR" w:bidi="es-AR"/>
        </w:rPr>
        <w:t xml:space="preserve">Señala también que lo agravia el fallo al rechazar el aquo la excepción de incompetencia planteada diciendo que “la persona ejecutada no resulta ser vecino extraño" siendo que el actor es vecino de otra provincia, solicita  su rechazo.</w:t>
      </w:r>
    </w:p>
    <w:p>
      <w:pPr>
        <w:pStyle w:val="[Normal]"/>
        <w:spacing w:line="360" w:lineRule="auto"/>
        <w:ind w:firstLine="1134"/>
        <w:jc w:val="both"/>
        <w:rPr>
          <w:lang w:val="es-AR" w:eastAsia="es-AR" w:bidi="es-AR"/>
        </w:rPr>
      </w:pPr>
      <w:r>
        <w:rPr>
          <w:lang w:val="es-AR" w:eastAsia="es-AR" w:bidi="es-AR"/>
        </w:rPr>
        <w:t xml:space="preserve">Dice que todo fue explicado, probado y ofrecido acreditar en la contestación de la demanda, pero el a-quo ordena continuar la ejecución a pesar de su deliberada omisión haciendo de este fallo un fraude procesal.</w:t>
      </w:r>
    </w:p>
    <w:p>
      <w:pPr>
        <w:pStyle w:val="[Normal]"/>
        <w:spacing w:line="360" w:lineRule="auto"/>
        <w:ind w:firstLine="1134"/>
        <w:jc w:val="both"/>
        <w:rPr>
          <w:lang w:val="es-AR" w:eastAsia="es-AR" w:bidi="es-AR"/>
        </w:rPr>
      </w:pPr>
      <w:r>
        <w:rPr>
          <w:lang w:val="es-AR" w:eastAsia="es-AR" w:bidi="es-AR"/>
        </w:rPr>
        <w:t xml:space="preserve">Cita jurisprudencia en apoyo de su postura.</w:t>
      </w:r>
    </w:p>
    <w:p>
      <w:pPr>
        <w:pStyle w:val="[Normal]"/>
        <w:spacing w:line="360" w:lineRule="auto"/>
        <w:ind w:firstLine="1134"/>
        <w:jc w:val="both"/>
        <w:rPr>
          <w:lang w:val="es-AR" w:eastAsia="es-AR" w:bidi="es-AR"/>
        </w:rPr>
      </w:pPr>
      <w:r>
        <w:rPr>
          <w:lang w:val="es-AR" w:eastAsia="es-AR" w:bidi="es-AR"/>
        </w:rPr>
        <w:t xml:space="preserve">Respecto a la falta de personería y sustitución de mandato sostiene que en su</w:t>
      </w:r>
      <w:r>
        <w:rPr>
          <w:b/>
          <w:lang w:val="es-AR" w:eastAsia="es-AR" w:bidi="es-AR"/>
        </w:rPr>
        <w:t xml:space="preserve"> </w:t>
      </w:r>
      <w:r>
        <w:rPr>
          <w:lang w:val="es-AR" w:eastAsia="es-AR" w:bidi="es-AR"/>
        </w:rPr>
        <w:t xml:space="preserve">decisión del a-quo cita el art. 1327 CCyC, el que resulta  ineficaz e insuficiente, que nada dijo de las irregularidades del mandato al momento de decidir,  la S.A. no le otorgó la mencionada sustitución, además de estar mal implementada, no se individualizó al cesionario.</w:t>
      </w:r>
    </w:p>
    <w:p>
      <w:pPr>
        <w:pStyle w:val="[Normal]"/>
        <w:spacing w:line="360" w:lineRule="auto"/>
        <w:ind w:firstLine="1134"/>
        <w:jc w:val="both"/>
        <w:rPr>
          <w:b/>
          <w:lang w:val="es-AR" w:eastAsia="es-AR" w:bidi="es-AR"/>
        </w:rPr>
      </w:pPr>
      <w:r>
        <w:rPr>
          <w:lang w:val="es-AR" w:eastAsia="es-AR" w:bidi="es-AR"/>
        </w:rPr>
        <w:t xml:space="preserve">La sustitución fue concretada por el apoderado de la actora. Sostiene que, entre tantas irregularidades omitidas en la sentencia, se advierte que el orden de los protocolos están invertidos en los folios agregados para justificar la aparente legalidad de la personaría invocada, primero está el B 85.778  y después el B 85.777, sin firma de la notaria.</w:t>
      </w:r>
    </w:p>
    <w:p>
      <w:pPr>
        <w:pStyle w:val="[Normal]"/>
        <w:spacing w:line="360" w:lineRule="auto"/>
        <w:ind w:firstLine="1134"/>
        <w:jc w:val="both"/>
        <w:rPr>
          <w:b/>
          <w:lang w:val="es-AR" w:eastAsia="es-AR" w:bidi="es-AR"/>
        </w:rPr>
      </w:pPr>
      <w:r>
        <w:rPr>
          <w:lang w:val="es-AR" w:eastAsia="es-AR" w:bidi="es-AR"/>
        </w:rPr>
        <w:t xml:space="preserve">Expresa que la sustitución se hizo en una escribanía de La Pampa para un profesional residente en la Provincia de Bs. As. que no compareció, ni es de conocimiento del Notario, sin acreditar su identidad -art. 306 CCyC.-  ni constar el Tomo ni el Folio del colega de ningún Departamento Judicial, sin mencionar el número del C.U.I.T ni un posible número del D.N.I.</w:t>
      </w:r>
    </w:p>
    <w:p>
      <w:pPr>
        <w:pStyle w:val="[Normal]"/>
        <w:spacing w:line="360" w:lineRule="auto"/>
        <w:ind w:firstLine="1134"/>
        <w:jc w:val="both"/>
        <w:rPr>
          <w:b/>
          <w:lang w:val="es-AR" w:eastAsia="es-AR" w:bidi="es-AR"/>
        </w:rPr>
      </w:pPr>
      <w:r>
        <w:rPr>
          <w:lang w:val="es-AR" w:eastAsia="es-AR" w:bidi="es-AR"/>
        </w:rPr>
        <w:t xml:space="preserve">Solicita que la excepción sea recibida dentro de los parámetros del  código de rito y revocado lo decidido.</w:t>
      </w:r>
    </w:p>
    <w:p>
      <w:pPr>
        <w:pStyle w:val="[Normal]"/>
        <w:spacing w:line="360" w:lineRule="auto"/>
        <w:ind w:firstLine="1134"/>
        <w:jc w:val="both"/>
        <w:rPr>
          <w:lang w:val="es-AR" w:eastAsia="es-AR" w:bidi="es-AR"/>
        </w:rPr>
      </w:pPr>
      <w:r>
        <w:rPr>
          <w:lang w:val="es-AR" w:eastAsia="es-AR" w:bidi="es-AR"/>
        </w:rPr>
        <w:t xml:space="preserve">Hace reserva del caso federal y solicita que oportunamente se revoque la sentencia apelada.</w:t>
      </w:r>
    </w:p>
    <w:p>
      <w:pPr>
        <w:pStyle w:val="[Normal]"/>
        <w:spacing w:line="360" w:lineRule="auto"/>
        <w:ind w:firstLine="1134"/>
        <w:jc w:val="both"/>
        <w:rPr>
          <w:lang w:val="es-AR" w:eastAsia="es-AR" w:bidi="es-AR"/>
        </w:rPr>
      </w:pPr>
      <w:r>
        <w:rPr>
          <w:lang w:val="es-AR" w:eastAsia="es-AR" w:bidi="es-AR"/>
        </w:rPr>
        <w:t xml:space="preserve">Finalmente solicita se decrete la nulidad del fallo.</w:t>
      </w:r>
    </w:p>
    <w:p>
      <w:pPr>
        <w:pStyle w:val="[Normal]"/>
        <w:spacing w:line="360" w:lineRule="auto"/>
        <w:ind w:firstLine="1134"/>
        <w:jc w:val="both"/>
        <w:rPr>
          <w:lang w:val="es-AR" w:eastAsia="es-AR" w:bidi="es-AR"/>
        </w:rPr>
      </w:pPr>
      <w:r>
        <w:rPr>
          <w:lang w:val="es-AR" w:eastAsia="es-AR" w:bidi="es-AR"/>
        </w:rPr>
        <w:t xml:space="preserve">Conferido el traslado pertinente y no habiendo la contraparte contestado el mismo, se le dio por perdido el derecho dejado de usar. </w:t>
      </w:r>
    </w:p>
    <w:p>
      <w:pPr>
        <w:pStyle w:val="[Normal]"/>
        <w:spacing w:line="360" w:lineRule="auto"/>
        <w:ind w:firstLine="1134"/>
        <w:jc w:val="both"/>
        <w:rPr>
          <w:lang w:val="es-AR" w:eastAsia="es-AR" w:bidi="es-AR"/>
        </w:rPr>
      </w:pPr>
      <w:r>
        <w:rPr>
          <w:lang w:val="es-AR" w:eastAsia="es-AR" w:bidi="es-AR"/>
        </w:rPr>
        <w:t xml:space="preserve">En fecha 4/03/2021 se llama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a resolver, en primer lugar advierto que todo lo que el apelante relata en los puntos II, III y VII del escrito de memoria,</w:t>
      </w:r>
      <w:r>
        <w:rPr>
          <w:b/>
          <w:lang w:val="es-AR" w:eastAsia="es-AR" w:bidi="es-AR"/>
        </w:rPr>
        <w:t xml:space="preserve"> </w:t>
      </w:r>
      <w:r>
        <w:rPr>
          <w:lang w:val="es-AR" w:eastAsia="es-AR" w:bidi="es-AR"/>
        </w:rPr>
        <w:t xml:space="preserve">resultan referencias genéricas que no inciden en la suerte del recurso, como así también sobre prueba que fuera oportunamente rechazada por el sentenciante, la que y con la firmeza del pase de los autos para resolver, ha perimido la cuestión respectiva, lo que torna inidónea esta porción del recurso.  </w:t>
      </w:r>
    </w:p>
    <w:p>
      <w:pPr>
        <w:pStyle w:val="[Normal]"/>
        <w:spacing w:line="360" w:lineRule="auto"/>
        <w:ind w:firstLine="1134"/>
        <w:jc w:val="both"/>
        <w:rPr>
          <w:lang w:val="es-AR" w:eastAsia="es-AR" w:bidi="es-AR"/>
        </w:rPr>
      </w:pPr>
      <w:r>
        <w:rPr>
          <w:lang w:val="es-AR" w:eastAsia="es-AR" w:bidi="es-AR"/>
        </w:rPr>
        <w:t xml:space="preserve">Es sabido que el llamamiento de autos produce el cierre de la etapa de instrucción del proceso, quedando agotada para las partes la posibilidad de aportar elementos convictivos y precluido el debate sobre cuestiones litigiosas, salvo los poderes del juez para dictar ex oficio las medidas del art. 36, inc. 2°, del Código ritual (arts. 482, 584 y ccs.  del C.P.C.y C.).</w:t>
      </w:r>
    </w:p>
    <w:p>
      <w:pPr>
        <w:pStyle w:val="[Normal]"/>
        <w:spacing w:line="360" w:lineRule="auto"/>
        <w:ind w:firstLine="1134"/>
        <w:jc w:val="both"/>
        <w:rPr>
          <w:lang w:val="es-AR" w:eastAsia="es-AR" w:bidi="es-AR"/>
        </w:rPr>
      </w:pPr>
      <w:r>
        <w:rPr>
          <w:lang w:val="es-AR" w:eastAsia="es-AR" w:bidi="es-AR"/>
        </w:rPr>
        <w:t xml:space="preserve">Es que, al descartar la prueba que ahora pretende reeditar el recurrente, mediante providencia que podría haberse apelado, y en su caso dado que el recurso procede con efecto diferido, hubiere sido objeto de tratamiento en esta oportunidad procesal, en atención a la apelación interpuestoa contra la sentencia (art. 555 del C.P.C.).</w:t>
      </w:r>
    </w:p>
    <w:p>
      <w:pPr>
        <w:pStyle w:val="[Normal]"/>
        <w:spacing w:line="360" w:lineRule="auto"/>
        <w:ind w:firstLine="1134"/>
        <w:jc w:val="both"/>
        <w:rPr>
          <w:lang w:val="es-AR" w:eastAsia="es-AR" w:bidi="es-AR"/>
        </w:rPr>
      </w:pPr>
      <w:r>
        <w:rPr>
          <w:lang w:val="es-AR" w:eastAsia="es-AR" w:bidi="es-AR"/>
        </w:rPr>
        <w:t xml:space="preserve">Ya ha dicho esta Alzada, aunque con diferente composición pero que la comparto, que consentido "... </w:t>
      </w:r>
      <w:r>
        <w:rPr>
          <w:i/>
          <w:lang w:val="es-AR" w:eastAsia="es-AR" w:bidi="es-AR"/>
        </w:rPr>
        <w:t xml:space="preserve">en el juicio ejecutivo el llamamiento de autos para resolver -el que supone declarar la cuestión de puro derecho y extingue la posibilidad de recurrir con relación a la prueba ofrecida en sustento de la excepción interpuesta- resulta ostensible que los agravios traídos en tal sentido al apelar la sentencia dictada, refieren a providencia distinta y anterior a la que origina el recurso en tratamiento, lo que por sí marca la irracionalidad de la crítica ensayada y el destino irrefutablemente adverso a su procedencia, no habiendo otra alternativa que declarar la deserción del recurso interpuesto por inidoneidad del memoria</w:t>
      </w:r>
      <w:r>
        <w:rPr>
          <w:lang w:val="es-AR" w:eastAsia="es-AR" w:bidi="es-AR"/>
        </w:rPr>
        <w:t xml:space="preserve">l.(arts. 260/1 del C.P.C.).-(CC0000 PE C 3142 RSD-99-99 S 15/07/1999 - Carátula: Rossi, Horacio N. c/Nazar, Salomón A. s/Cobro ejecutivo de alquileres, sumario Juba: B2800913)</w:t>
      </w:r>
    </w:p>
    <w:p>
      <w:pPr>
        <w:pStyle w:val="[Normal]"/>
        <w:spacing w:line="360" w:lineRule="auto"/>
        <w:ind w:firstLine="1134"/>
        <w:jc w:val="both"/>
        <w:rPr>
          <w:lang w:val="es-AR" w:eastAsia="es-AR" w:bidi="es-AR"/>
        </w:rPr>
      </w:pPr>
      <w:r>
        <w:rPr>
          <w:lang w:val="es-AR" w:eastAsia="es-AR" w:bidi="es-AR"/>
        </w:rPr>
        <w:t xml:space="preserve">En los otros aspectos también el memorial refleja una falta de crítica concreta y razonada. </w:t>
      </w:r>
    </w:p>
    <w:p>
      <w:pPr>
        <w:pStyle w:val="[Normal]"/>
        <w:spacing w:line="360" w:lineRule="auto"/>
        <w:ind w:firstLine="1134"/>
        <w:jc w:val="both"/>
        <w:rPr>
          <w:lang w:val="es-AR" w:eastAsia="es-AR" w:bidi="es-AR"/>
        </w:rPr>
      </w:pPr>
      <w:r>
        <w:rPr>
          <w:lang w:val="es-AR" w:eastAsia="es-AR" w:bidi="es-AR"/>
        </w:rPr>
        <w:t xml:space="preserve">Frases apuntadas por el quejoso, tales como que "Esta sentencia no reúne ni tiene la coherencia  que el Artículo 2 del CCyC. exige. No encuentro razones morales ni cognitivas por qué el a-quo no se  empeñó y dedicó en juzgar según el código, sin respetar la voluntad de las partes en el vínculo contractual  (Art. 1430 CCyC.) y que la ley es obligatoria para todos los que habitan la República (¿y por qué entre las partes de este conflicto: no?) y menos cuota de razón legal contiene sin explicar en su sentencia el derecho omitido e invadir la prohibición del art. 960 del CCyC, siendo su fallo dogmático y debe ser revocable.", no tienen efecto alguno en la disconformidad planteada en tanto resultan afirmaciones teóricas que no se corresponden con las circunstancias del caso concreto en estudio.</w:t>
      </w:r>
    </w:p>
    <w:p>
      <w:pPr>
        <w:pStyle w:val="[Normal]"/>
        <w:spacing w:line="360" w:lineRule="auto"/>
        <w:ind w:firstLine="1134"/>
        <w:jc w:val="both"/>
        <w:rPr>
          <w:lang w:val="es-AR" w:eastAsia="es-AR" w:bidi="es-AR"/>
        </w:rPr>
      </w:pPr>
      <w:r>
        <w:rPr>
          <w:lang w:val="es-AR" w:eastAsia="es-AR" w:bidi="es-AR"/>
        </w:rPr>
        <w:t xml:space="preserve">En los demás puntos que enumera en su crítica, entiendo que se tratan de reiteraciones de los fundamentos de las excepciones opuestas a la ejecución, y que el juez a quo las ha rechazado con suficiente y acabado razonamiento y justificación, por lo que no mellan en nada la decisión primera.</w:t>
      </w:r>
    </w:p>
    <w:p>
      <w:pPr>
        <w:pStyle w:val="[Normal]"/>
        <w:spacing w:line="360" w:lineRule="auto"/>
        <w:ind w:firstLine="1134"/>
        <w:jc w:val="both"/>
        <w:rPr>
          <w:lang w:val="es-AR" w:eastAsia="es-AR" w:bidi="es-AR"/>
        </w:rPr>
      </w:pPr>
      <w:r>
        <w:rPr>
          <w:lang w:val="es-AR" w:eastAsia="es-AR" w:bidi="es-AR"/>
        </w:rPr>
        <w:t xml:space="preserve">Así, en cuanto a la incompetencia, el apelante refiere a que el actor fue convocado a una mediación por su parte pero que el mismo la rechazó en el entendimiento que no era competencia territorial para ello.</w:t>
      </w:r>
    </w:p>
    <w:p>
      <w:pPr>
        <w:pStyle w:val="[Normal]"/>
        <w:spacing w:line="360" w:lineRule="auto"/>
        <w:ind w:firstLine="1134"/>
        <w:jc w:val="both"/>
        <w:rPr>
          <w:lang w:val="es-AR" w:eastAsia="es-AR" w:bidi="es-AR"/>
        </w:rPr>
      </w:pPr>
      <w:r>
        <w:rPr>
          <w:lang w:val="es-AR" w:eastAsia="es-AR" w:bidi="es-AR"/>
        </w:rPr>
        <w:t xml:space="preserve">Sin embargo, a poco de leer la documentación a la que refiere la demandada, la mediación a la que la parte actora negara su concurrencia, lo era por una supuesta rendición de cuentas, y así lo hizo saber el apoderado de la accionante mediante carta documento agregada con el escrito del aquí apelante del 29/7/2020 hora 12:09:02, negando además la obligación de tal rendición, como así también la eventual competencia para una acción en la que la demandada sería la propia parte actora.</w:t>
      </w:r>
    </w:p>
    <w:p>
      <w:pPr>
        <w:pStyle w:val="[Normal]"/>
        <w:spacing w:line="360" w:lineRule="auto"/>
        <w:ind w:firstLine="1134"/>
        <w:jc w:val="both"/>
        <w:rPr>
          <w:b/>
          <w:lang w:val="es-AR" w:eastAsia="es-AR" w:bidi="es-AR"/>
        </w:rPr>
      </w:pPr>
      <w:r>
        <w:rPr>
          <w:lang w:val="es-AR" w:eastAsia="es-AR" w:bidi="es-AR"/>
        </w:rPr>
        <w:t xml:space="preserve">Pero en los presentes autos lo que se está ejecutando son cheques rechazados por falta de fondos suficientes, librados precisamente por la sociedad demandada, por lo que el rechazo de la excepción de incompetencia dispuesta en la sentencia deviene correcta y ajustada a derecho, en tanto la mediación resulta optativa para el titular de la acción, razón por la que ninguna conducta contraria se evidencia en el accionar de la ejecutante. Es decir, al resultar la mediación optativa y desistir de la misma el titular del derecho a tal opción, toda cuestión relativa a la validez de esta etapa preliminar (competencia, forma, oportunidad, etc.) se ha tornado abstracta, por cuanto más allá de la mayor o menor razón que puedan tener las eventuales impugnaciones del apelante éstas no podrán ser válidamente consideradas atento a los efectos cancelatorios de la opción ejercida.</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Y precisamente, la ley que dispone la mediación en esta provincia al respecto dice: " En los procesos de ejecución y en los juicios seguidos por desalojo, la Mediación Previa Obligatoria será optativa para el reclamante, quedando obligado el requerido en dicho supuesto, a ocurrir a tal instancia" (art. 5 ley 13951).</w:t>
      </w:r>
    </w:p>
    <w:p>
      <w:pPr>
        <w:pStyle w:val="[Normal]"/>
        <w:spacing w:line="360" w:lineRule="auto"/>
        <w:ind w:firstLine="1134"/>
        <w:jc w:val="both"/>
        <w:rPr>
          <w:lang w:val="es-AR" w:eastAsia="es-AR" w:bidi="es-AR"/>
        </w:rPr>
      </w:pPr>
      <w:r>
        <w:rPr>
          <w:lang w:val="es-AR" w:eastAsia="es-AR" w:bidi="es-AR"/>
        </w:rPr>
        <w:t xml:space="preserve">En relación a la excepción el a quo dijo: "</w:t>
      </w:r>
      <w:r>
        <w:rPr>
          <w:i/>
          <w:lang w:val="es-AR" w:eastAsia="es-AR" w:bidi="es-AR"/>
        </w:rPr>
        <w:t xml:space="preserve">En tal orden de ideas, es dable advertir que en estos autos la persona ejecutada no resulta ser un vecino extraño que pueda hacer prevalecer la competencia federal establecida en los términos del artículo 116 de la Constitución Nacional,  ello en virtud de que el propio actor optó por iniciar el presente juicio ejecutivo ante este Departamento Judicial, conforme el domicilio del demandado, lo que motiva el rechazo de la excepción de incompetencia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Y ello es así, mas allá de la perspectiva que pretende darle el apelante, en tanto que en nuestro caso en que la situación de excepción es  convenida en favor del vecino de otra provincia, que en nuestro caso no es otro que el actor "... quien, precisamente, ha demandado en la jurisdicción que corresponde a esta Provincia. Y siendo ello así debe tenerse en cuenta que el fuero federal por distinta vecindad es un privilegio determinado en favor del vecino de extraña jurisdicción, el que puede ser declinado y su renuncia puede ser explícita o surgir implícita de la postura que asuma en el proceso, que es lo que debe interpretarse del obrar de la parte actora (art. 5 inc. 3, C.P.C.C.; C. S. en E.D., 67-297).(SCBA LP Ac 60260 S 25/03/1997 - Carátula: Banco de La Pampa c/Parigiani, Rubén Pedro y otra s/Ejecución hipotecaria",Publicación: AyS 1997 I, 604 juba: B23918).-</w:t>
      </w:r>
    </w:p>
    <w:p>
      <w:pPr>
        <w:pStyle w:val="[Normal]"/>
        <w:spacing w:line="360" w:lineRule="auto"/>
        <w:ind w:firstLine="1134"/>
        <w:jc w:val="both"/>
        <w:rPr>
          <w:lang w:val="es-AR" w:eastAsia="es-AR" w:bidi="es-AR"/>
        </w:rPr>
      </w:pPr>
      <w:r>
        <w:rPr>
          <w:lang w:val="es-AR" w:eastAsia="es-AR" w:bidi="es-AR"/>
        </w:rPr>
        <w:t xml:space="preserve">Vale recordar que "... la jurisdicción federal puede clasificarse desde tres planos distintos: a) por razón de la materia, según la naturaleza de la cuestión debatida y no precisamente por las leyes que invoquen las partes; b) por razón de las personas que intervienen en el litigio y c) por razón del lugar, es decir, si se da alguno de los dos supuestos mencionados, habrá que establecer a qué juez corresponde en razón del territorio (mi voto en Cs.48298, R.S. 86/03).- Luego, debe repararse que siendo la competencia federal por razón de la persona una cuestión prorrogable en favor de la justicia local, constituye un tema disponible para la parte interesada (conf.: SCBA, L 63348 Sent. 28-10-1997, D.J.B.A. 154, 110). En efecto, el fuero federal por distinta vecindad es un privilegio determinado a favor del vecino de extraña jurisdicción, el que puede ser declinado y su renuncia puede ser explícita o surgir implícita de la postura que asuma en el proceso (conf.: SCBA, Ac. 60260, Sent. 25-3-1997, Ac. y Sent. 1997 I, 604; ídem,L 36157, Sent. 9-9-1986, D.T. 1987-A, 905, L.L. 1987-C, 429, D.J.B.A. 132, 181, Ac. y Sent. 1986 III, 151; ídem, L 36791,Sent. 11-11-1986, D.J.B.A. 132, 314, Ac. y Sent. 1986 IV, 43; ídem, L 36138 S 9-9-1986, D.J.B.A. 132, 181, Ac y Sent. 1986 III, 151; ídem L 36727, Sent. 11-11-1986, D.J.B.A. 132,314, Ac. y Sent. 1986 IV, 43; ídem, L 63474, Sent. 28-10-1997).-(CC0001 MO 50977 RSD-377- S 16/12/2004 -Carátula: Comuna de Hughes c/Bugeiro Cecilia Victoria s/Apremio", texto en extenso de sumario Juba: B2300544).</w:t>
      </w:r>
    </w:p>
    <w:p>
      <w:pPr>
        <w:pStyle w:val="[Normal]"/>
        <w:spacing w:line="360" w:lineRule="auto"/>
        <w:ind w:firstLine="1134"/>
        <w:jc w:val="both"/>
        <w:rPr>
          <w:lang w:val="es-AR" w:eastAsia="es-AR" w:bidi="es-AR"/>
        </w:rPr>
      </w:pPr>
      <w:r>
        <w:rPr>
          <w:lang w:val="es-AR" w:eastAsia="es-AR" w:bidi="es-AR"/>
        </w:rPr>
        <w:t xml:space="preserve">En relación a la personería, el apelante vuelve sobre el mismo fundamento que el juez denegara con razón, en tanto que como se señaló, la falta de consignación en el poder respectivo de la posibilidad de sustituir el mandato, no implica que este prohibido (Arts. 377, 1327 del C. C. y C. ).-</w:t>
      </w:r>
    </w:p>
    <w:p>
      <w:pPr>
        <w:pStyle w:val="[Normal]"/>
        <w:spacing w:line="360" w:lineRule="auto"/>
        <w:ind w:firstLine="1134"/>
        <w:jc w:val="both"/>
        <w:rPr>
          <w:lang w:val="es-AR" w:eastAsia="es-AR" w:bidi="es-AR"/>
        </w:rPr>
      </w:pPr>
      <w:r>
        <w:rPr>
          <w:i/>
          <w:lang w:val="es-AR" w:eastAsia="es-AR" w:bidi="es-AR"/>
        </w:rPr>
        <w:t xml:space="preserve">"La regla es que el apoderado siempre tiene facultades para efectuar la sustitución. No es necesario que el apoderado tenga la facultad expresa de sustituir su representación y aparece implícito en la actividad del apoderado poder elegir a otra persona que lo reemplace, ya fuere ante cualquier contingencia que pudiera impedir su actuación personal o en todo caso que pudiera hacerlo mejor o con mejor provecho para el negocio que le han encomendado, aunque lógicamene es responsable por los actos de la persona en la que ha sustituído sus poderes ... La única posibilidad de impedir absolutamente que el apoderado sustituya sus facultades en una tercera persona es prohibiéndoselo de manera expresa. Se alcanza ese resultado con la sola prohibición de sustituir."</w:t>
      </w:r>
      <w:r>
        <w:rPr>
          <w:lang w:val="es-AR" w:eastAsia="es-AR" w:bidi="es-AR"/>
        </w:rPr>
        <w:t xml:space="preserve"> (Código Civil y Comercial , comentado, anotado y concordado", Eduardo Gabriel Clusellas, coordinador, Ed. Astrea - FEN Editora Notarial - Buenos Aires - Bogota 2015, pág. 137/138).-</w:t>
      </w:r>
    </w:p>
    <w:p>
      <w:pPr>
        <w:pStyle w:val="[Normal]"/>
        <w:spacing w:line="360" w:lineRule="auto"/>
        <w:ind w:firstLine="1134"/>
        <w:jc w:val="both"/>
        <w:rPr>
          <w:lang w:val="es-AR" w:eastAsia="es-AR" w:bidi="es-AR"/>
        </w:rPr>
      </w:pPr>
      <w:r>
        <w:rPr>
          <w:lang w:val="es-AR" w:eastAsia="es-AR" w:bidi="es-AR"/>
        </w:rPr>
        <w:t xml:space="preserve">En cuanto a la invocada "Impugnación a la Legitimación Activa" Punto VI del memorial, de nuevo no se advierte la crítica concreta sobre lo fallado en la anterior instancia, en la cual el juez a quo ha sido claro al fundamentar el rechazo de la excepción.</w:t>
      </w:r>
    </w:p>
    <w:p>
      <w:pPr>
        <w:pStyle w:val="[Normal]"/>
        <w:spacing w:line="360" w:lineRule="auto"/>
        <w:ind w:firstLine="1134"/>
        <w:jc w:val="both"/>
        <w:rPr>
          <w:lang w:val="es-AR" w:eastAsia="es-AR" w:bidi="es-AR"/>
        </w:rPr>
      </w:pPr>
      <w:r>
        <w:rPr>
          <w:lang w:val="es-AR" w:eastAsia="es-AR" w:bidi="es-AR"/>
        </w:rPr>
        <w:t xml:space="preserve">Es así, que me permito transcribir la parte pertinente, por coincidir con ello en tanto que "... </w:t>
      </w:r>
      <w:r>
        <w:rPr>
          <w:i/>
          <w:lang w:val="es-AR" w:eastAsia="es-AR" w:bidi="es-AR"/>
        </w:rPr>
        <w:t xml:space="preserve">frente a un cheque librado a favor de una determinada persona, cuyo nombre consta en el título como beneficiario, la legitimación activa para reclamar el pago del crédito contenido en el cheque rechazado viene dada por la posesión del documento. El poseedor legitimo esta habilitado para ejercer el derecho o los derechos emergentes del título sin necesidad de suministrar prueba de que es propietario de dicho instrumento y el efectivo titular del derecho emergente del mismo. (Art. 6 Inc. 1 de la Ley 24.452). En nuestro caso, de las constancias de autos surge que los títulos que aquí se ejecutan son, dieciséis cheques librado contra el Banco Macro a la orden de CEREALES QUEMU S. A., motivo por el cual el carácter de tenedor legitimo que reviste el actor es suficiente como para rechazar la excepción de falta de legitimación activa planteada.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Todo lo relativo a las normas del Código Civil y Comercial que refiere en su memorial, no tienen ninguna incidencia sobre la ejecutabilidad de los títulos valores que aquí se ejecutan, los que gozan de la abstracción causal y la invocación de un contrato de "cuenta corriente" (tal como en forma reiterada trae a colación el apelante), no tiene ninguna injerencia sobre la habilidad de los títulos, ni sobre la legitimación activa (punto VI del escrito de agravios).</w:t>
      </w:r>
    </w:p>
    <w:p>
      <w:pPr>
        <w:pStyle w:val="[Normal]"/>
        <w:spacing w:line="360" w:lineRule="auto"/>
        <w:ind w:firstLine="1134"/>
        <w:jc w:val="both"/>
        <w:rPr>
          <w:lang w:val="es-AR" w:eastAsia="es-AR" w:bidi="es-AR"/>
        </w:rPr>
      </w:pPr>
      <w:r>
        <w:rPr>
          <w:lang w:val="es-AR" w:eastAsia="es-AR" w:bidi="es-AR"/>
        </w:rPr>
        <w:t xml:space="preserve">En relación a la pretendida aplicabilidad de la ley de defensa del consumidor he de compartir lo resuelto por el a quo por cuanto, dado que sin perjuicio de las facultades oficiosas de los jueces, las partes -como auxiliares de justicia-, deben prestar colaboración al magistrado para calificar correctamente la presencia de una relación de consumo arrimando la prueba conducente y concluyente que le permita acreditar la verificación del ámbito objetivo y subjetivo de aplicación de la ley.</w:t>
      </w:r>
    </w:p>
    <w:p>
      <w:pPr>
        <w:pStyle w:val="[Normal]"/>
        <w:spacing w:line="360" w:lineRule="auto"/>
        <w:ind w:firstLine="1134"/>
        <w:jc w:val="both"/>
        <w:rPr>
          <w:lang w:val="es-AR" w:eastAsia="es-AR" w:bidi="es-AR"/>
        </w:rPr>
      </w:pPr>
      <w:r>
        <w:rPr>
          <w:lang w:val="es-AR" w:eastAsia="es-AR" w:bidi="es-AR"/>
        </w:rPr>
        <w:t xml:space="preserve">Por ultimo, en el punto VII refiere a "cuestiones no resueltas", sin embargo la sentencia ha tratado todas las cuestiones conducentes y decisivas para fallar; las cuales han sido consideradas en conjunto para formar la convicción acerca de la solución del caso a resolver, siendo algunas de las cuestiones que refiere el apelante, meras referencias que en el caso concreto no aplican como para cambiar la decisión primera.</w:t>
      </w:r>
    </w:p>
    <w:p>
      <w:pPr>
        <w:pStyle w:val="[Normal]"/>
        <w:spacing w:line="360" w:lineRule="auto"/>
        <w:ind w:firstLine="1134"/>
        <w:jc w:val="both"/>
        <w:rPr>
          <w:lang w:val="es-AR" w:eastAsia="es-AR" w:bidi="es-AR"/>
        </w:rPr>
      </w:pPr>
      <w:r>
        <w:rPr>
          <w:lang w:val="es-AR" w:eastAsia="es-AR" w:bidi="es-AR"/>
        </w:rPr>
        <w:t xml:space="preserve">En tal sentido, no es ocioso recordar que los magistrados cuentan con un ámbito de necesaria libertad para subsumir los hechos alegados y probados por las partes dentro de las previsiones normativas que rijan el caso, aún cuando los litigantes hubieran invocado la aplicabilidad de otras disposiciones y aún cuando el juez de la instancia originaria hubiese fundado la decisión apelada a través de otro carril argumentativo (ROCCO, Alfredo, “La sentencia civil”, traducción de Mariano Ovejero,  Buenos Aires 2003, Editorial El Foro, página 185). Es decir, los jueces son soberanos en cuanto a la elección de la fundamentación jurídica de sus fallos dentro de los límites fácticos establecidos por las partes en sus escritos postulatorios de demanda, contestación y apelación respectiva (PEYRANO, Jorge W., Sobre la libertad de argumentacion de los jueces al  momento de dictar sentencia, presentado en Posgrado de Especialización para la Magistratura de la Facultad de Derecho de Rosario de la Pontificia Universidad Católica Argentina).	</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de referencia,</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de Alzada a la apelante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(Art. 31 y 51 de la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de primera instancia en todas sus partes.</w:t>
      </w:r>
    </w:p>
    <w:p>
      <w:pPr>
        <w:pStyle w:val="[Normal]"/>
        <w:spacing w:line="360" w:lineRule="auto"/>
        <w:ind w:firstLine="1134"/>
        <w:jc w:val="both"/>
        <w:rPr>
          <w:lang w:val="es-AR" w:eastAsia="es-AR" w:bidi="es-AR"/>
        </w:rPr>
      </w:pPr>
      <w:r>
        <w:rPr>
          <w:lang w:val="es-AR" w:eastAsia="es-AR" w:bidi="es-AR"/>
        </w:rPr>
        <w:t xml:space="preserve">Costas de Alzada a la apelante que resulta vencida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(Art. 31 y 51 de la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20278560059@NOTIFICACIONES.SCBA.GOV.AR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27276668957@NOTIFICACIONES.SCBA.GOV.AR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20/05/2021 10:50:30 -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20/05/2021 11:16:08 -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20/05/2021 11:22:09 -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20/05/2021 11:46:44 -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20278560059@NOTIFICACIONES.SCBA.GOV.AR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27276668957@NOTIFICACIONES.SCBA.GOV.AR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‰75")è%.`\UŠ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232102090005146460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4193 - 21 - CEREALES QUEMU S.A.  C/ CONSIGNATARIA JP SA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‰75")è%.`\UŠ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232102090005146460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