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62 /</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330/334</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11 de Mayo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4209-21</w:t>
      </w:r>
      <w:r>
        <w:rPr>
          <w:lang w:val="es-AR" w:eastAsia="es-AR" w:bidi="es-AR"/>
        </w:rPr>
        <w:t xml:space="preserve"> caratulada </w:t>
      </w:r>
      <w:r>
        <w:rPr>
          <w:b/>
          <w:lang w:val="es-AR" w:eastAsia="es-AR" w:bidi="es-AR"/>
        </w:rPr>
        <w:t xml:space="preserve">"</w:t>
      </w:r>
      <w:r>
        <w:rPr>
          <w:b/>
          <w:color w:val="000000"/>
          <w:lang w:val="es-AR" w:eastAsia="es-AR" w:bidi="es-AR"/>
        </w:rPr>
        <w:t xml:space="preserve">GALLO LILIAN INES  C/ GAILLARD MARINA SUSANA S/ COBRO EJECUTIVO</w:t>
      </w:r>
      <w:r>
        <w:rPr>
          <w:b/>
          <w:lang w:val="es-AR" w:eastAsia="es-AR" w:bidi="es-AR"/>
        </w:rPr>
        <w:t xml:space="preserve">"</w:t>
      </w:r>
      <w:r>
        <w:rPr>
          <w:lang w:val="es-AR" w:eastAsia="es-AR" w:bidi="es-AR"/>
        </w:rPr>
        <w:t xml:space="preserve">, Expte. N° </w:t>
      </w:r>
      <w:r>
        <w:rPr>
          <w:color w:val="000000"/>
          <w:lang w:val="es-AR" w:eastAsia="es-AR" w:bidi="es-AR"/>
        </w:rPr>
        <w:t xml:space="preserve">84.635</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3</w:t>
      </w:r>
      <w:r>
        <w:rPr>
          <w:lang w:val="es-AR" w:eastAsia="es-AR" w:bidi="es-AR"/>
        </w:rPr>
        <w:t xml:space="preserve">, se practicó el sorteo de ley que determinó que la votación debía efectuarse en el siguiente orden: Graciela Scaraffia, Bernardo Louise y Roberto Degleue, y estudiados los autos se resolvió  plantear y votar las siguientes: </w:t>
      </w:r>
    </w:p>
    <w:p>
      <w:pPr>
        <w:pStyle w:val="[Normal]"/>
        <w:spacing w:line="360" w:lineRule="auto"/>
        <w:ind w:firstLine="1134"/>
        <w:jc w:val="both"/>
        <w:rPr>
          <w:lang w:val="es-AR" w:eastAsia="es-AR" w:bidi="es-AR"/>
        </w:rPr>
      </w:pPr>
      <w:r>
        <w:rPr>
          <w:u w:val="single"/>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 </w:t>
      </w:r>
    </w:p>
    <w:p>
      <w:pPr>
        <w:pStyle w:val="[Normal]"/>
        <w:spacing w:line="360" w:lineRule="auto"/>
        <w:ind w:firstLine="1134"/>
        <w:jc w:val="both"/>
        <w:rPr>
          <w:lang w:val="es-AR" w:eastAsia="es-AR" w:bidi="es-AR"/>
        </w:rPr>
      </w:pPr>
      <w:r>
        <w:rPr>
          <w:lang w:val="es-AR" w:eastAsia="es-AR" w:bidi="es-AR"/>
        </w:rPr>
        <w:t xml:space="preserve">El Sr. Juez de la anterior instancia rechazó la defensa de  falsedad de firma opuesta por la ejecutada GAILLARD MARINA SUSANA, y en consecuencia, mandó llevar adelante la ejecución hasta tanto ésta última haga al acreedor íntegro pago del capital reclamado en autos de pesos Ochenta y cinco mil ($85.000,00), con más sus intereses al tipo que cobra el Banco de la Provincia de Buenos Aires, en operaciones de descuentos de documentos comerciales en préstamos ordinarios – tasa activa-, a partir de la fecha de mora acaecida el 10-1-2019 y hasta la del efectivo pago, con más las costas de la ejecución, a cuyos efectos, difirió la regulación de los honorarios de los letrados intervinientes hasta el momento procesal oportuno. Asimismo, condenó a la ejecutada al pago de la multa del 5% del monto del juicio a favor del accionante, con costas, difiriendo la regulación de honorarios de los letrados intervinientes hasta el momento procesal  oportuno.</w:t>
      </w:r>
    </w:p>
    <w:p>
      <w:pPr>
        <w:pStyle w:val="[Normal]"/>
        <w:spacing w:line="360" w:lineRule="auto"/>
        <w:ind w:firstLine="1134"/>
        <w:jc w:val="both"/>
        <w:rPr>
          <w:lang w:val="es-AR" w:eastAsia="es-AR" w:bidi="es-AR"/>
        </w:rPr>
      </w:pPr>
      <w:r>
        <w:rPr>
          <w:lang w:val="es-AR" w:eastAsia="es-AR" w:bidi="es-AR"/>
        </w:rPr>
        <w:t xml:space="preserve">Tal decisorio fue objeto de los recursos de apelación por parte de la actora el día 08/02/2021 y por la demandada el 04/02/2021, concedidos en relación y con efecto suspensivo el 18/02/2021 y 08/02/2021 respectivamente. Con fecha 12/02/2021 fue presentado el memorial por la accionada y del mismo se dio  traslado a la actora con fecha 18/02/2021.  El 26/02/2021 es evacuado el traslado y presentado el memorial por parte de la actora. El día 11/03/2021 la parte demandada evacua el traslado conferido. El  23/03/2021 luce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 Se duele la demandada señalando que la sentencia se basa como único fundamento  en la prueba pericial caligráfica, otrora impugnada por su parte. Así como también que se le ha rechazado el pedido de un nuevo informe pericial lo que tacha de arbitrario.</w:t>
      </w:r>
    </w:p>
    <w:p>
      <w:pPr>
        <w:pStyle w:val="[Normal]"/>
        <w:spacing w:line="360" w:lineRule="auto"/>
        <w:ind w:firstLine="1134"/>
        <w:jc w:val="both"/>
        <w:rPr>
          <w:lang w:val="es-AR" w:eastAsia="es-AR" w:bidi="es-AR"/>
        </w:rPr>
      </w:pPr>
      <w:r>
        <w:rPr>
          <w:lang w:val="es-AR" w:eastAsia="es-AR" w:bidi="es-AR"/>
        </w:rPr>
        <w:t xml:space="preserve">Se detiene en las carencias técnicas del informe, y los supuestos desaciertos en los que ha incurrido el experto y que a su criterio autorizarían otra pericia, que fuera desestimada por el a-quo, lo que tornaría arbitraria su decisión. En su discurrir pide se disponga desde aquí una nueva pericia y de ser denegada, se revoque la sentencia en función de los argumentos desplegados. Ataca la fijación de la multa impuesta por el a-quo, pretendiendo se la suprima.</w:t>
      </w:r>
    </w:p>
    <w:p>
      <w:pPr>
        <w:pStyle w:val="[Normal]"/>
        <w:spacing w:line="360" w:lineRule="auto"/>
        <w:ind w:firstLine="1134"/>
        <w:jc w:val="both"/>
        <w:rPr>
          <w:lang w:val="es-AR" w:eastAsia="es-AR" w:bidi="es-AR"/>
        </w:rPr>
      </w:pPr>
      <w:r>
        <w:rPr>
          <w:lang w:val="es-AR" w:eastAsia="es-AR" w:bidi="es-AR"/>
        </w:rPr>
        <w:t xml:space="preserve">En su responde la parte actora, quien simultáneamente expresa agravios, señala que la accionada al impugnar la pericia sin razones valederas tuvo sólo por objetivo dilatar injustificadamente el proceso, señalando que la apreciación de la prueba por los magistrados es amplia, quien selecciona los elementos probatorios conforme la sana crítica racional. Subraya que la pretensión de una nueva pericia  es improcedente, ya que ha sido acreditada con los medios pertinentes en el informe de fecha 30/10/2020, que la firma le pertenece a la ejecutada.</w:t>
      </w:r>
    </w:p>
    <w:p>
      <w:pPr>
        <w:pStyle w:val="[Normal]"/>
        <w:spacing w:line="360" w:lineRule="auto"/>
        <w:ind w:firstLine="1134"/>
        <w:jc w:val="both"/>
        <w:rPr>
          <w:lang w:val="es-AR" w:eastAsia="es-AR" w:bidi="es-AR"/>
        </w:rPr>
      </w:pPr>
      <w:r>
        <w:rPr>
          <w:lang w:val="es-AR" w:eastAsia="es-AR" w:bidi="es-AR"/>
        </w:rPr>
        <w:t xml:space="preserve">Cuestiona el porcentaje de  la multa impuesta y subraya  que por la actitud dilatoria de la demandada se incremente la misma  al 10% del monto reclamado, conforme el art. 45 del CPCC y su doctrina. </w:t>
      </w:r>
    </w:p>
    <w:p>
      <w:pPr>
        <w:pStyle w:val="[Normal]"/>
        <w:spacing w:line="360" w:lineRule="auto"/>
        <w:ind w:firstLine="1134"/>
        <w:jc w:val="both"/>
        <w:rPr>
          <w:lang w:val="es-AR" w:eastAsia="es-AR" w:bidi="es-AR"/>
        </w:rPr>
      </w:pPr>
      <w:r>
        <w:rPr>
          <w:lang w:val="es-AR" w:eastAsia="es-AR" w:bidi="es-AR"/>
        </w:rPr>
        <w:t xml:space="preserve">Entrando a resolver y con relación al pedido formulado por la accionada en su escrito de agravios relativo a la producción de una nueva pericial caligráfica, se  ha dicho reiteradamente desde aquí que  el replanteo de prueba previsto en el artículo 255 inc. 2 del C.P.C C. tiene por finalidad fiscalizar la producción, denegación y sustanciación de las pruebas, en función de la inapelabilidad prevista en el art. 377 de ese  cuerpo normativo y su doctrina. Y que el mismo debe ser admitido sólo cuando el juez denegó mal la prueba o decretó indebidamente la negligencia, privando así a la parte de formar favorablemente con la prueba frustrada la convicción del juez respecto de los hechos por él invocados.- </w:t>
      </w:r>
    </w:p>
    <w:p>
      <w:pPr>
        <w:pStyle w:val="[Normal]"/>
        <w:spacing w:line="360" w:lineRule="auto"/>
        <w:ind w:firstLine="1134"/>
        <w:jc w:val="both"/>
        <w:rPr>
          <w:lang w:val="es-AR" w:eastAsia="es-AR" w:bidi="es-AR"/>
        </w:rPr>
      </w:pPr>
      <w:r>
        <w:rPr>
          <w:lang w:val="es-AR" w:eastAsia="es-AR" w:bidi="es-AR"/>
        </w:rPr>
        <w:t xml:space="preserve">Así, es que se ha sostenido que ..."La apertura a prueba del juicio en segunda instancia tiene carácter de excepción, pues las situaciones que autoriza dicha apertura son expresadas por la ley de modo taxativo y dentro de las hipótesis planteadas, la procedencia de la medida debe encararse en principio, con criterio estricto, a fin de no habilitar el nacimiento de una segunda instancia. Esto se debe, a que la facultad de replantear en la Alzada prueba no es una vía destinada a subsanar la indolencia en su producción oportuna, sino un medio indirecto de revisar la justicia de la decisión, dada su inapelabilidad, posibilitando su producción en caso de resultar injusta aquella declaración" (CC0001 SM 55499 RSI-61-9 I 1-4-2009, Juez SANCHEZ PONS -JUBA B1952362-).- </w:t>
      </w:r>
    </w:p>
    <w:p>
      <w:pPr>
        <w:pStyle w:val="[Normal]"/>
        <w:spacing w:line="360" w:lineRule="auto"/>
        <w:ind w:firstLine="1134"/>
        <w:jc w:val="both"/>
        <w:rPr>
          <w:lang w:val="es-AR" w:eastAsia="es-AR" w:bidi="es-AR"/>
        </w:rPr>
      </w:pPr>
      <w:r>
        <w:rPr>
          <w:lang w:val="es-AR" w:eastAsia="es-AR" w:bidi="es-AR"/>
        </w:rPr>
        <w:t xml:space="preserve">En la especie, ello no acontece.-</w:t>
      </w:r>
    </w:p>
    <w:p>
      <w:pPr>
        <w:pStyle w:val="[Normal]"/>
        <w:spacing w:line="360" w:lineRule="auto"/>
        <w:ind w:firstLine="1134"/>
        <w:jc w:val="both"/>
        <w:rPr>
          <w:lang w:val="es-AR" w:eastAsia="es-AR" w:bidi="es-AR"/>
        </w:rPr>
      </w:pPr>
      <w:r>
        <w:rPr>
          <w:lang w:val="es-AR" w:eastAsia="es-AR" w:bidi="es-AR"/>
        </w:rPr>
        <w:t xml:space="preserve">Pues examinados el dictamen pericial practicado en autos mediante escrito electrónico de 30/10/2020, por la Perito Calígrafa Oficial  junto con  el responde a las impugnaciones provocadas por la parte demandada de fecha 9/12/2020, aprecia este Tribunal que cumplen los requisitos contenidos en el art. 472 del C.P.C.C., siendo contestados los puntos propuestos de manera contundente .-</w:t>
      </w:r>
    </w:p>
    <w:p>
      <w:pPr>
        <w:pStyle w:val="[Normal]"/>
        <w:spacing w:line="360" w:lineRule="auto"/>
        <w:ind w:firstLine="1134"/>
        <w:jc w:val="both"/>
        <w:rPr>
          <w:lang w:val="es-AR" w:eastAsia="es-AR" w:bidi="es-AR"/>
        </w:rPr>
      </w:pPr>
      <w:r>
        <w:rPr>
          <w:lang w:val="es-AR" w:eastAsia="es-AR" w:bidi="es-AR"/>
        </w:rPr>
        <w:t xml:space="preserve">También  ha de meritarse que la impugnación efectuada respecto del informe de referencia y su supuesto déficit técnico  como asimismo  la cuestionada valoración de tales elementos por el a-quo, conforman la materia sometida a examen a través de la vía recursiva, garantizando de tal modo el derecho de defensa y el principio de la doble instancia (art. 260 C.P.C.).-</w:t>
      </w:r>
    </w:p>
    <w:p>
      <w:pPr>
        <w:pStyle w:val="[Normal]"/>
        <w:spacing w:line="360" w:lineRule="auto"/>
        <w:ind w:firstLine="1134"/>
        <w:jc w:val="both"/>
        <w:rPr>
          <w:lang w:val="es-AR" w:eastAsia="es-AR" w:bidi="es-AR"/>
        </w:rPr>
      </w:pPr>
      <w:r>
        <w:rPr>
          <w:lang w:val="es-AR" w:eastAsia="es-AR" w:bidi="es-AR"/>
        </w:rPr>
        <w:t xml:space="preserve">No se da ninguno de los supuestos contemplados por el Código ritual que habilitan el replanteo probatorio en Alzada -prueba denegada o declaración de negligencia- sino que se trata de meras discrepancias de la recurrente con respecto a la prueba pericial caligráfica y su resultado adverso. En consecuencia, ha sido debidamente denegada en la instancia primera la realización de nueva pericia (art. 255 inc. 2 del C.P.C.C.). Y el pedido de nueva producción deviene improcedente.-</w:t>
      </w:r>
    </w:p>
    <w:p>
      <w:pPr>
        <w:pStyle w:val="[Normal]"/>
        <w:spacing w:line="360" w:lineRule="auto"/>
        <w:ind w:firstLine="1134"/>
        <w:jc w:val="both"/>
        <w:rPr>
          <w:lang w:val="es-AR" w:eastAsia="es-AR" w:bidi="es-AR"/>
        </w:rPr>
      </w:pPr>
      <w:r>
        <w:rPr>
          <w:lang w:val="es-AR" w:eastAsia="es-AR" w:bidi="es-AR"/>
        </w:rPr>
        <w:t xml:space="preserve">Por lo demás y relativo a la pericia en si misma, que ha fundado el rechazo de la defensa opuesta por la accionada, no cabe ninguna duda que ha sido bien valorada por el juez de grado, conforme los principios contenidos en los arts. 474 del CPCC y su doctrina, siendo que el elemento técnico aportado no viene neutralizado por otra prueba que permita el apartamiento de aquella conclusión.-</w:t>
      </w:r>
    </w:p>
    <w:p>
      <w:pPr>
        <w:pStyle w:val="[Normal]"/>
        <w:spacing w:line="360" w:lineRule="auto"/>
        <w:ind w:firstLine="1134"/>
        <w:jc w:val="both"/>
        <w:rPr>
          <w:lang w:val="es-AR" w:eastAsia="es-AR" w:bidi="es-AR"/>
        </w:rPr>
      </w:pPr>
      <w:r>
        <w:rPr>
          <w:lang w:val="es-AR" w:eastAsia="es-AR" w:bidi="es-AR"/>
        </w:rPr>
        <w:t xml:space="preserve">Tanto en el informe de fecha 30/10/2020 así como en la ampliación al contestar la impugnación, la Perito actuante ha sido concluyente al señalar luego de dar motivados fundamentos técnico científicos que "la firma y los datos del deudor en el pagaré de fecha 3/12/2018 son auténticas puestas de puño y letra por Marina Susana Gaillard". Con lo cual no se aprecia arbitrariedad ninguna en la valoración y selección realizada por operador de grado, que denuncia la quejosa intentando variar la suerte de la conclusión pericial. (art. 384, 386 del CPCC y su doctrina).-</w:t>
      </w:r>
    </w:p>
    <w:p>
      <w:pPr>
        <w:pStyle w:val="[Normal]"/>
        <w:spacing w:line="360" w:lineRule="auto"/>
        <w:ind w:firstLine="1134"/>
        <w:jc w:val="both"/>
        <w:rPr>
          <w:lang w:val="es-AR" w:eastAsia="es-AR" w:bidi="es-AR"/>
        </w:rPr>
      </w:pPr>
      <w:r>
        <w:rPr>
          <w:lang w:val="es-AR" w:eastAsia="es-AR" w:bidi="es-AR"/>
        </w:rPr>
        <w:t xml:space="preserve">En el responde de la impugnación provocada por la demandada la Perito dice: "Se reitera en esta oportunidad que el informe elevado se realizó dentro de las normas establecidas en la técnica pericia caligráfica, hecho que ha permitido conocer fehacientemente las personalidades escriturales cotejadas. Esto es, analizar aquellos aspectos de la grafía que han quedado grabados en el área del cerebro que rige a la escritura, responsable de desencadenar al momento de firmar y/o escribir ese grupo de elementos que se conocen como grafocinetismos, detalles invisibles, etc.; responsables de definir si una persona es autora de la firma en cuestión o no.</w:t>
      </w:r>
    </w:p>
    <w:p>
      <w:pPr>
        <w:pStyle w:val="[Normal]"/>
        <w:spacing w:line="360" w:lineRule="auto"/>
        <w:ind w:firstLine="1134"/>
        <w:jc w:val="both"/>
        <w:rPr>
          <w:lang w:val="es-AR" w:eastAsia="es-AR" w:bidi="es-AR"/>
        </w:rPr>
      </w:pPr>
      <w:r>
        <w:rPr>
          <w:lang w:val="es-AR" w:eastAsia="es-AR" w:bidi="es-AR"/>
        </w:rPr>
        <w:t xml:space="preserve">Esta forma de investigación está completada con instrumentos de precisión ajustados a las necesidades de los exámenes requeridos que permiten corroborar las observaciones en los grafismos.</w:t>
      </w:r>
    </w:p>
    <w:p>
      <w:pPr>
        <w:pStyle w:val="[Normal]"/>
        <w:spacing w:line="360" w:lineRule="auto"/>
        <w:ind w:firstLine="1134"/>
        <w:jc w:val="both"/>
        <w:rPr>
          <w:lang w:val="es-AR" w:eastAsia="es-AR" w:bidi="es-AR"/>
        </w:rPr>
      </w:pPr>
      <w:r>
        <w:rPr>
          <w:lang w:val="es-AR" w:eastAsia="es-AR" w:bidi="es-AR"/>
        </w:rPr>
        <w:t xml:space="preserve">El desempeño de la Perito es una labor técnica, con fundamentos científicos, expuesta de manera objetiva y lógica; la ausencia de fotografía no suma el proceso científico-técnico principal del conocimiento de la modalidad escritural puesta en examen.".-</w:t>
      </w:r>
    </w:p>
    <w:p>
      <w:pPr>
        <w:pStyle w:val="[Normal]"/>
        <w:spacing w:line="360" w:lineRule="auto"/>
        <w:ind w:firstLine="1134"/>
        <w:jc w:val="both"/>
        <w:rPr>
          <w:lang w:val="es-AR" w:eastAsia="es-AR" w:bidi="es-AR"/>
        </w:rPr>
      </w:pPr>
      <w:r>
        <w:rPr>
          <w:lang w:val="es-AR" w:eastAsia="es-AR" w:bidi="es-AR"/>
        </w:rPr>
        <w:t xml:space="preserve">Por lo que no cabe ninguna duda que la defensa de falsedad invocada por la demandada, no puede prosperar.-             </w:t>
      </w:r>
    </w:p>
    <w:p>
      <w:pPr>
        <w:pStyle w:val="[Normal]"/>
        <w:spacing w:line="360" w:lineRule="auto"/>
        <w:ind w:firstLine="1134"/>
        <w:jc w:val="both"/>
        <w:rPr>
          <w:lang w:val="es-AR" w:eastAsia="es-AR" w:bidi="es-AR"/>
        </w:rPr>
      </w:pPr>
      <w:r>
        <w:rPr>
          <w:lang w:val="es-AR" w:eastAsia="es-AR" w:bidi="es-AR"/>
        </w:rPr>
        <w:t xml:space="preserve">Asimismo la fijación de la multa del 5% del monto del juicio impuesta en la sentencia,  ha motivado la queja de la demandada así como la de la actora, la primera pretendiendo su exclusión y la segunda elevarla  a un 30% del total.</w:t>
      </w:r>
    </w:p>
    <w:p>
      <w:pPr>
        <w:pStyle w:val="[Normal]"/>
        <w:spacing w:line="360" w:lineRule="auto"/>
        <w:ind w:firstLine="1134"/>
        <w:jc w:val="both"/>
        <w:rPr>
          <w:lang w:val="es-AR" w:eastAsia="es-AR" w:bidi="es-AR"/>
        </w:rPr>
      </w:pPr>
      <w:r>
        <w:rPr>
          <w:lang w:val="es-AR" w:eastAsia="es-AR" w:bidi="es-AR"/>
        </w:rPr>
        <w:t xml:space="preserve">El art. 45 del CPCC así como el art. 549 CPCC prevé un monto que irá entre el 3 y el 10 por ciento del importe de la deuda en concepto de multa, describiendo cuales son las conductas que generan esta sanción.- Y que radica fundamentalmente en utilizar en forma arbitraria, manifiesta y sistemática defensas palmariamente improcedentes, destinadas a entorpecer el avance del  proceso.-</w:t>
      </w:r>
    </w:p>
    <w:p>
      <w:pPr>
        <w:pStyle w:val="[Normal]"/>
        <w:spacing w:line="360" w:lineRule="auto"/>
        <w:ind w:firstLine="1134"/>
        <w:jc w:val="both"/>
        <w:rPr>
          <w:lang w:val="es-AR" w:eastAsia="es-AR" w:bidi="es-AR"/>
        </w:rPr>
      </w:pPr>
      <w:r>
        <w:rPr>
          <w:lang w:val="es-AR" w:eastAsia="es-AR" w:bidi="es-AR"/>
        </w:rPr>
        <w:t xml:space="preserve">Como lo ha señalado el Juez de grado, se configura en la especie esta conducta merecedora de multa por parte del demandado, en cuanto aún con la pericia caligráfica contundente, siguió insistiendo en una posición negadora, que excede los límites de la defensa en juicio y claramente es captada por esta normativa</w:t>
      </w:r>
    </w:p>
    <w:p>
      <w:pPr>
        <w:pStyle w:val="[Normal]"/>
        <w:spacing w:line="360" w:lineRule="auto"/>
        <w:ind w:firstLine="1134"/>
        <w:jc w:val="both"/>
        <w:rPr>
          <w:lang w:val="es-AR" w:eastAsia="es-AR" w:bidi="es-AR"/>
        </w:rPr>
      </w:pPr>
      <w:r>
        <w:rPr>
          <w:lang w:val="es-AR" w:eastAsia="es-AR" w:bidi="es-AR"/>
        </w:rPr>
        <w:t xml:space="preserve">Se ha señalado que "El art. 45 del CPCC. confiere al juez la facultad de imponerle a la parte vencida y a sus letrados una multa, cuando considera que la conducta que asumieran en el pleito resulte temeraria o maliciosa, no se trata, por este medio, de menoscabar el principio de defensa en juicio. Es por ello que este poder otorgado por el legislador, debe ser ejercido con suma prudencia, previa aclaración fundada de la malicia o temeridad, e interpretándose, en caso de duda, que el justiciable ha hecho un ejercicio natural del derecho de defensa. Para su aplicación, debe estarse ante situaciones de evidentes y manifiestos propósitos obstruccionistas, con clara y visible intención de perturbar el proceso, por parte del perdidoso. (CC0001 SI 42152 569 I 20/12/2018, Carátula: Calistro Norberto Lenoardo s/ sucesion).</w:t>
      </w:r>
    </w:p>
    <w:p>
      <w:pPr>
        <w:pStyle w:val="[Normal]"/>
        <w:spacing w:line="360" w:lineRule="auto"/>
        <w:ind w:firstLine="1134"/>
        <w:jc w:val="both"/>
        <w:rPr>
          <w:lang w:val="es-AR" w:eastAsia="es-AR" w:bidi="es-AR"/>
        </w:rPr>
      </w:pPr>
      <w:r>
        <w:rPr>
          <w:lang w:val="es-AR" w:eastAsia="es-AR" w:bidi="es-AR"/>
        </w:rPr>
        <w:t xml:space="preserve">Y en juicio ejecutivo en especial abundan fallos  que indican "Se ha expresado en doctrina que la temeridad consiste en la conducta de la parte que deduce pretensiones o defensas cuya injusticia o falta de fundamentación no puede ignorar de acuerdo con una mínima pauta de razonabilidad. Por eso la temeridad se configura cuando existe conciencia de la propia sinrazón. Mientras que, por otro lado, malicia es la conducta observada en el proceso con una finalidad exclusivamente distorsionadora de aquél, tendiendo a la obstrucción del mismo, persiguiendo su dilación (CC0002 AZ 63233 123 S 23/08/2018 Juez LONGOBARDI (SD) Carátula: Los Tres Quijotes S.R.L. c/. Justo, Cristian E. s/. Cobro Ejecutivo).</w:t>
      </w:r>
    </w:p>
    <w:p>
      <w:pPr>
        <w:pStyle w:val="[Normal]"/>
        <w:spacing w:line="360" w:lineRule="auto"/>
        <w:ind w:firstLine="1134"/>
        <w:jc w:val="both"/>
        <w:rPr>
          <w:lang w:val="es-AR" w:eastAsia="es-AR" w:bidi="es-AR"/>
        </w:rPr>
      </w:pPr>
      <w:r>
        <w:rPr>
          <w:lang w:val="es-AR" w:eastAsia="es-AR" w:bidi="es-AR"/>
        </w:rPr>
        <w:t xml:space="preserve">"El artículo 45 del Código Ritual impone una multa cuando se declare maliciosa o temeraria la conducta asumida en el pleito. La "malicia" queda configurada cuando durante el desarrollo del trámite cualquiera de las partes obstaculiza, retarda, o provoca articulaciones manifiestamente improcedentes con el solo propósito de dilatar la tramitación del proceso. La "temeridad" consiste en el conocimiento que tuvo o debió tener de la carencia de motivos para resistir la acción, sin perjuicio de lo cual, prefirió hacerlo, abusando de la defensa (esta Sala c. 83445 Reg. 387/92; Sala II c. 96438 Reg. 145/96; CC0203 LP c. 65735 Reg. 268/89 y ots.) (CC0101 MP 156092 156092 S 06/10/2015 Juez MENDEZ (MA)</w:t>
      </w:r>
    </w:p>
    <w:p>
      <w:pPr>
        <w:pStyle w:val="[Normal]"/>
        <w:spacing w:line="360" w:lineRule="auto"/>
        <w:ind w:firstLine="1134"/>
        <w:jc w:val="both"/>
        <w:rPr>
          <w:lang w:val="es-AR" w:eastAsia="es-AR" w:bidi="es-AR"/>
        </w:rPr>
      </w:pPr>
      <w:r>
        <w:rPr>
          <w:lang w:val="es-AR" w:eastAsia="es-AR" w:bidi="es-AR"/>
        </w:rPr>
        <w:t xml:space="preserve">De lo hasta aquí señalado entonces, propicio la confirmación de  lo decidido en primera instancia.</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Bernardo Louise y Roberto Degleue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el recurso de apelación deducido por la parte demandada confirmando la sentencia en todas sus partes.-</w:t>
      </w:r>
    </w:p>
    <w:p>
      <w:pPr>
        <w:pStyle w:val="[Normal]"/>
        <w:spacing w:line="360" w:lineRule="auto"/>
        <w:ind w:firstLine="1134"/>
        <w:jc w:val="both"/>
        <w:rPr>
          <w:lang w:val="es-AR" w:eastAsia="es-AR" w:bidi="es-AR"/>
        </w:rPr>
      </w:pPr>
      <w:r>
        <w:rPr>
          <w:lang w:val="es-AR" w:eastAsia="es-AR" w:bidi="es-AR"/>
        </w:rPr>
        <w:t xml:space="preserve">Rechazar el recurso de la parte actora en punto al incremento de la multa.-</w:t>
      </w:r>
    </w:p>
    <w:p>
      <w:pPr>
        <w:pStyle w:val="[Normal]"/>
        <w:spacing w:line="360" w:lineRule="auto"/>
        <w:ind w:firstLine="1134"/>
        <w:jc w:val="both"/>
        <w:rPr>
          <w:lang w:val="es-AR" w:eastAsia="es-AR" w:bidi="es-AR"/>
        </w:rPr>
      </w:pPr>
      <w:r>
        <w:rPr>
          <w:lang w:val="es-AR" w:eastAsia="es-AR" w:bidi="es-AR"/>
        </w:rPr>
        <w:t xml:space="preserve">Costas de Alzada a la parte demandada vencida (art. 68 del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hasta tanto obre en autos liquidación firme (art. 51 ley arancelaria)</w:t>
      </w:r>
    </w:p>
    <w:p>
      <w:pPr>
        <w:pStyle w:val="[Normal]"/>
        <w:spacing w:line="360" w:lineRule="auto"/>
        <w:ind w:firstLine="1134"/>
        <w:jc w:val="both"/>
        <w:rPr>
          <w:lang w:val="es-AR" w:eastAsia="es-AR" w:bidi="es-AR"/>
        </w:rPr>
      </w:pPr>
      <w:r>
        <w:rPr>
          <w:b/>
          <w:lang w:val="es-AR" w:eastAsia="es-AR" w:bidi="es-AR"/>
        </w:rPr>
        <w:t xml:space="preserve">ASI LO VOTO.</w:t>
      </w: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A la misma cuestión los Sres. Jueces Bernardo Louise y Roberto Degleue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Desestimar el recurso de apelación deducido por la parte demandada confirmando la sentencia en todas sus partes.-</w:t>
      </w:r>
    </w:p>
    <w:p>
      <w:pPr>
        <w:pStyle w:val="[Normal]"/>
        <w:spacing w:line="360" w:lineRule="auto"/>
        <w:ind w:firstLine="1134"/>
        <w:jc w:val="both"/>
        <w:rPr>
          <w:lang w:val="es-AR" w:eastAsia="es-AR" w:bidi="es-AR"/>
        </w:rPr>
      </w:pPr>
      <w:r>
        <w:rPr>
          <w:lang w:val="es-AR" w:eastAsia="es-AR" w:bidi="es-AR"/>
        </w:rPr>
        <w:t xml:space="preserve">Rechazar el recurso de la parte actora en punto al incremento de la multa.-</w:t>
      </w:r>
    </w:p>
    <w:p>
      <w:pPr>
        <w:pStyle w:val="[Normal]"/>
        <w:spacing w:line="360" w:lineRule="auto"/>
        <w:ind w:firstLine="1134"/>
        <w:jc w:val="both"/>
        <w:rPr>
          <w:lang w:val="es-AR" w:eastAsia="es-AR" w:bidi="es-AR"/>
        </w:rPr>
      </w:pPr>
      <w:r>
        <w:rPr>
          <w:lang w:val="es-AR" w:eastAsia="es-AR" w:bidi="es-AR"/>
        </w:rPr>
        <w:t xml:space="preserve">Costas de Alzada a la parte demandada vencida (art. 68 del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hasta tanto obre en autos liquidación firme (art. 51 ley arancelaria)</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rPr>
          <w:color w:val="000000"/>
          <w:lang w:val="es-AR" w:eastAsia="es-AR" w:bidi="es-AR"/>
        </w:rPr>
      </w:pPr>
      <w:r>
        <w:rPr>
          <w:color w:val="000000"/>
          <w:lang w:val="es-AR" w:eastAsia="es-AR" w:bidi="es-AR"/>
        </w:rPr>
        <w:t xml:space="preserve">20286683372@NOTIFICACIONES.SCBA.GOV.AR</w:t>
      </w:r>
    </w:p>
    <w:p>
      <w:pPr>
        <w:pStyle w:val="[Normal]"/>
        <w:rPr>
          <w:color w:val="000000"/>
          <w:lang w:val="es-AR" w:eastAsia="es-AR" w:bidi="es-AR"/>
        </w:rPr>
      </w:pPr>
      <w:r>
        <w:rPr>
          <w:color w:val="000000"/>
          <w:lang w:val="es-AR" w:eastAsia="es-AR" w:bidi="es-AR"/>
        </w:rPr>
        <w:t xml:space="preserve">20344633798@NOTIFICACIONES.SCBA.GOV.AR</w:t>
      </w: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r>
        <w:rPr>
          <w:color w:val="000000"/>
          <w:lang w:val="es-AR" w:eastAsia="es-AR" w:bidi="es-AR"/>
        </w:rPr>
        <w:t xml:space="preserve">         </w:t>
      </w: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11/05/2021 09:45:31 -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11/05/2021 09:47:51 -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11/05/2021 09:49:01 -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11/05/2021 11:45:51 -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20286683372@NOTIFICACIONES.SCBA.GOV.AR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20344633798@NOTIFICACIONES.SCBA.GOV.AR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‰8M")è%/w`4Š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244502090005158764</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976"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4209 - 21 - GALLO LILIAN INES  C/ GAILLARD MARINA SUSANA S/ COBRO EJECUTIVO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‰8M")è%/w`4Š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244502090005158764</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