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64 /</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341/345</w:t>
      </w: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4232-21</w:t>
      </w:r>
      <w:r>
        <w:rPr>
          <w:lang w:val="es-AR" w:eastAsia="es-AR" w:bidi="es-AR"/>
        </w:rPr>
        <w:t xml:space="preserve"> caratulada </w:t>
      </w:r>
      <w:r>
        <w:rPr>
          <w:b/>
          <w:lang w:val="es-AR" w:eastAsia="es-AR" w:bidi="es-AR"/>
        </w:rPr>
        <w:t xml:space="preserve">"</w:t>
      </w:r>
      <w:r>
        <w:rPr>
          <w:b/>
          <w:color w:val="000000"/>
          <w:lang w:val="es-AR" w:eastAsia="es-AR" w:bidi="es-AR"/>
        </w:rPr>
        <w:t xml:space="preserve">BANCO PROVINCIA  C/ LA ABUELA CELIA S.A  S/ COBRO EJECUTIVO</w:t>
      </w:r>
      <w:r>
        <w:rPr>
          <w:b/>
          <w:lang w:val="es-AR" w:eastAsia="es-AR" w:bidi="es-AR"/>
        </w:rPr>
        <w:t xml:space="preserve">"</w:t>
      </w:r>
      <w:r>
        <w:rPr>
          <w:lang w:val="es-AR" w:eastAsia="es-AR" w:bidi="es-AR"/>
        </w:rPr>
        <w:t xml:space="preserve">, Expte. N° </w:t>
      </w:r>
      <w:r>
        <w:rPr>
          <w:color w:val="000000"/>
          <w:lang w:val="es-AR" w:eastAsia="es-AR" w:bidi="es-AR"/>
        </w:rPr>
        <w:t xml:space="preserve">63661</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3</w:t>
      </w:r>
      <w:r>
        <w:rPr>
          <w:lang w:val="es-AR" w:eastAsia="es-AR" w:bidi="es-AR"/>
        </w:rPr>
        <w:t xml:space="preserve">, se practicó el sorteo de ley que determinó que la votación debía efectuarse en el siguiente orden: Graciela Scaraffia, Roberto Degleue y Bernardo Louise,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dictó sentencia de trance y remate y  rechazó la excepción de inhabilidad de título opuesta mediante presentación electrónica de fecha 17/11/2020, en consecuencia, mandó llevar adelante la ejecución hasta tanto la ejecutada LA ABUELA CELIA S.A. haga al acreedor BANCO DE LA PROVINCIA DE BUENOS AIRES, íntegro pago del capital reclamado de </w:t>
      </w:r>
      <w:r>
        <w:rPr>
          <w:rStyle w:val="STRONG"/>
          <w:lang w:val="es-AR" w:eastAsia="es-AR" w:bidi="es-AR"/>
        </w:rPr>
        <w:t xml:space="preserve">$1.162.697,73 (PESOS UN MILLON CIENTO SESENTA Y DOS MIL SEISCIENTOS NOVENTA Y SIETE CON SETENTA Y TRES CENTAVOS</w:t>
      </w:r>
      <w:r>
        <w:rPr>
          <w:lang w:val="es-AR" w:eastAsia="es-AR" w:bidi="es-AR"/>
        </w:rPr>
        <w:t xml:space="preserve">), con más los intereses que se  calcularán  a partir de la fecha de la mora: 28/05/2019, al tipo que cobra el Banco de la Provincia de Bs.As. en sus operaciones ordinarias de descuentos a treinta días -tasa activa- (cfr. Excma. Cámara Departamental 145/2009 "MAS SOL Eduardo c/ MAZZOLA, Pedro s/ Med.Cautelares", Reg. Nº2, Folio Nº 10/2, del 19/03/09).- Con más las costas de  la  ejecución.  Difirió la regulación de los honorarios de los profesionales intervinientes hasta el momento en que haya determinación firme de la base para ello (Art. 51 de la ley 14.967).</w:t>
      </w:r>
    </w:p>
    <w:p>
      <w:pPr>
        <w:pStyle w:val="[Normal]"/>
        <w:spacing w:line="360" w:lineRule="auto"/>
        <w:ind w:firstLine="1134"/>
        <w:jc w:val="both"/>
        <w:rPr>
          <w:lang w:val="es-AR" w:eastAsia="es-AR" w:bidi="es-AR"/>
        </w:rPr>
      </w:pPr>
      <w:r>
        <w:rPr>
          <w:lang w:val="es-AR" w:eastAsia="es-AR" w:bidi="es-AR"/>
        </w:rPr>
        <w:t xml:space="preserve">Tal decisorio fue objeto del recurso de apelación por  la parte   demandada mediante el escrito electrónico de fecha 15/03/2021, concedido en relación y con efecto suspensivo el 16/03/2021.  El día 22/03/2021 la demandada fundó el recurso y del mismo se dio  traslado a la contraparte el día 25/03/2021.  En fecha 26/03/2021 fue evacuado el traslado. En fecha  13/04/2021 luce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Se duele el apoderado de la ejecutada del rechazo de la excepción de inhabilidad de título decidida por el operador de grado, en cuanto la motivara en la falta de negación de la deuda; invocando el doliente argumentos de fondo y de forma .-</w:t>
      </w:r>
    </w:p>
    <w:p>
      <w:pPr>
        <w:pStyle w:val="[Normal]"/>
        <w:spacing w:line="360" w:lineRule="auto"/>
        <w:ind w:firstLine="1134"/>
        <w:jc w:val="both"/>
        <w:rPr>
          <w:lang w:val="es-AR" w:eastAsia="es-AR" w:bidi="es-AR"/>
        </w:rPr>
      </w:pPr>
      <w:r>
        <w:rPr>
          <w:lang w:val="es-AR" w:eastAsia="es-AR" w:bidi="es-AR"/>
        </w:rPr>
        <w:t xml:space="preserve">Reseña que desde la ley 7425 del año 1968 se sostuvo que es obligación del juez examinar la faz extrínseca del documento, teniendo para ello dos oportunidades claramente definidas: una al libramiento del mandamiento de pago y la otra en la sentencia, reprochando que el juez no utilizó estas facultades.-</w:t>
      </w:r>
    </w:p>
    <w:p>
      <w:pPr>
        <w:pStyle w:val="[Normal]"/>
        <w:spacing w:line="360" w:lineRule="auto"/>
        <w:ind w:firstLine="1134"/>
        <w:jc w:val="both"/>
        <w:rPr>
          <w:lang w:val="es-AR" w:eastAsia="es-AR" w:bidi="es-AR"/>
        </w:rPr>
      </w:pPr>
      <w:r>
        <w:rPr>
          <w:lang w:val="es-AR" w:eastAsia="es-AR" w:bidi="es-AR"/>
        </w:rPr>
        <w:t xml:space="preserve">Indica que no se tuvo en cuenta la gran transformación que sufrió la ejecución del saldo deudor  después del dictado del Código Unificado: el documento deberá ser fimado por dos apoderados del Banco, señalando que en la demanda no se acreditó y el juez no lo observó. Y con respecto al día del cierre, en la defensa interpuesta se hacía notar la divergencia de fecha, por lo tanto varía la fecha de la exigibilidad de la deuda, fijando la sentencia una mora arbitraria.-</w:t>
      </w:r>
    </w:p>
    <w:p>
      <w:pPr>
        <w:pStyle w:val="[Normal]"/>
        <w:spacing w:line="360" w:lineRule="auto"/>
        <w:ind w:firstLine="1134"/>
        <w:jc w:val="both"/>
        <w:rPr>
          <w:lang w:val="es-AR" w:eastAsia="es-AR" w:bidi="es-AR"/>
        </w:rPr>
      </w:pPr>
      <w:r>
        <w:rPr>
          <w:lang w:val="es-AR" w:eastAsia="es-AR" w:bidi="es-AR"/>
        </w:rPr>
        <w:t xml:space="preserve">Acude a la doctrina emanada del art. 1406 del CCCN y cita fallos.-</w:t>
      </w:r>
    </w:p>
    <w:p>
      <w:pPr>
        <w:pStyle w:val="[Normal]"/>
        <w:spacing w:line="360" w:lineRule="auto"/>
        <w:ind w:firstLine="1134"/>
        <w:jc w:val="both"/>
        <w:rPr>
          <w:lang w:val="es-AR" w:eastAsia="es-AR" w:bidi="es-AR"/>
        </w:rPr>
      </w:pPr>
      <w:r>
        <w:rPr>
          <w:lang w:val="es-AR" w:eastAsia="es-AR" w:bidi="es-AR"/>
        </w:rPr>
        <w:t xml:space="preserve">Señala que no se acreditó en la especie que los funcionarios hayan estado habilitados sin embargo se dio curso a la ejecución siendo que las formas extrínsecas hacen a la validez del título.-</w:t>
      </w:r>
    </w:p>
    <w:p>
      <w:pPr>
        <w:pStyle w:val="[Normal]"/>
        <w:spacing w:line="360" w:lineRule="auto"/>
        <w:ind w:firstLine="1134"/>
        <w:jc w:val="both"/>
        <w:rPr>
          <w:lang w:val="es-AR" w:eastAsia="es-AR" w:bidi="es-AR"/>
        </w:rPr>
      </w:pPr>
      <w:r>
        <w:rPr>
          <w:lang w:val="es-AR" w:eastAsia="es-AR" w:bidi="es-AR"/>
        </w:rPr>
        <w:t xml:space="preserve">Otro de los disgustos lo asienta en que debió el sentenciante tener presente que las actividades bancaria y financieras deben interpretarse conforme los derechos del consumidor y usuario, bajo las normas previstas en la ley 24.240 y modificatorias, debiéndose interpretar los hechos teniendo en cuenta esas premisas.- En tanto dice que la práctica ha demostrado que varias entidades financieras se valieron de títulos ejecutivos descriptos en los procesos compulsorios y en virtud de lo cual violentaron derechos de consumidores y usuarios.-</w:t>
      </w:r>
    </w:p>
    <w:p>
      <w:pPr>
        <w:pStyle w:val="[Normal]"/>
        <w:spacing w:line="360" w:lineRule="auto"/>
        <w:ind w:firstLine="1134"/>
        <w:jc w:val="both"/>
        <w:rPr>
          <w:lang w:val="es-AR" w:eastAsia="es-AR" w:bidi="es-AR"/>
        </w:rPr>
      </w:pPr>
      <w:r>
        <w:rPr>
          <w:lang w:val="es-AR" w:eastAsia="es-AR" w:bidi="es-AR"/>
        </w:rPr>
        <w:t xml:space="preserve">En síntesis señala que el operador  no dio debida interpretación al art. 1406 del CCCN, que se basó en un fallo que ha perdido toda virtualidad, al omitir nuevas interpretaciones del derecho, así como también la ley de defensa de los consumidores, pidiendo la revocación .-</w:t>
      </w:r>
    </w:p>
    <w:p>
      <w:pPr>
        <w:pStyle w:val="[Normal]"/>
        <w:spacing w:line="360" w:lineRule="auto"/>
        <w:ind w:firstLine="1134"/>
        <w:jc w:val="both"/>
        <w:rPr>
          <w:lang w:val="es-AR" w:eastAsia="es-AR" w:bidi="es-AR"/>
        </w:rPr>
      </w:pPr>
      <w:r>
        <w:rPr>
          <w:lang w:val="es-AR" w:eastAsia="es-AR" w:bidi="es-AR"/>
        </w:rPr>
        <w:t xml:space="preserve">A su turno el apoderado de la entidad bancaria afirma  que el escrito no resulta idóneo para sostener el recurso, toda vez que el apelante no realiza una crítica concreta y razonada del fallo, reiterando argumentaciones e insistiendo con fundamentos que no aportan elementos de hecho.-</w:t>
      </w:r>
    </w:p>
    <w:p>
      <w:pPr>
        <w:pStyle w:val="[Normal]"/>
        <w:spacing w:line="360" w:lineRule="auto"/>
        <w:ind w:firstLine="1134"/>
        <w:jc w:val="both"/>
        <w:rPr>
          <w:lang w:val="es-AR" w:eastAsia="es-AR" w:bidi="es-AR"/>
        </w:rPr>
      </w:pPr>
      <w:r>
        <w:rPr>
          <w:lang w:val="es-AR" w:eastAsia="es-AR" w:bidi="es-AR"/>
        </w:rPr>
        <w:t xml:space="preserve">Sostiene que su mandante ha cumplido con las premisas del art. 1406 del CCCN y que tal como lo ha recogido el a quo,  la excepción de inhabilidad no prospera si no se niega la existencia de la deuda en cuya virtud se acciona, premisa que dice ser recogida invariablemente por la jurisprudencia.-</w:t>
      </w:r>
    </w:p>
    <w:p>
      <w:pPr>
        <w:pStyle w:val="[Normal]"/>
        <w:spacing w:line="360" w:lineRule="auto"/>
        <w:ind w:firstLine="1134"/>
        <w:jc w:val="both"/>
        <w:rPr>
          <w:lang w:val="es-AR" w:eastAsia="es-AR" w:bidi="es-AR"/>
        </w:rPr>
      </w:pPr>
      <w:r>
        <w:rPr>
          <w:lang w:val="es-AR" w:eastAsia="es-AR" w:bidi="es-AR"/>
        </w:rPr>
        <w:t xml:space="preserve">Entrando a resolver el art. 1406 del CCCN dice claramente que "Producido el cierre de una cuenta, e informado el cuenta correntista, si el Banco está autorizado a operar en la República puede emitir un titulo con eficacia ejecutiva. El documento debe ser firmado por dos personas, apoderadas del banco mediante escritura pública, en el que se debe indicar: a) el día de cierre de la cuenta, b) el saldo a dicha fecha c) el medio por el que ambas circunstancias fueron comunicadas al cuenta correntista..".</w:t>
      </w:r>
    </w:p>
    <w:p>
      <w:pPr>
        <w:pStyle w:val="[Normal]"/>
        <w:spacing w:line="360" w:lineRule="auto"/>
        <w:ind w:firstLine="1134"/>
        <w:jc w:val="both"/>
        <w:rPr>
          <w:lang w:val="es-AR" w:eastAsia="es-AR" w:bidi="es-AR"/>
        </w:rPr>
      </w:pPr>
      <w:r>
        <w:rPr>
          <w:lang w:val="es-AR" w:eastAsia="es-AR" w:bidi="es-AR"/>
        </w:rPr>
        <w:t xml:space="preserve">El nuevo sistema normativo mantiene el mismo esquema que el Código de Comercio, confirmando la validez de esos títulos de autocreación,  .</w:t>
      </w:r>
    </w:p>
    <w:p>
      <w:pPr>
        <w:pStyle w:val="[Normal]"/>
        <w:spacing w:line="360" w:lineRule="auto"/>
        <w:ind w:firstLine="1134"/>
        <w:jc w:val="both"/>
        <w:rPr>
          <w:lang w:val="es-AR" w:eastAsia="es-AR" w:bidi="es-AR"/>
        </w:rPr>
      </w:pPr>
      <w:r>
        <w:rPr>
          <w:lang w:val="es-AR" w:eastAsia="es-AR" w:bidi="es-AR"/>
        </w:rPr>
        <w:t xml:space="preserve">Pero en vez de responsabilizar en su emisión a dos funcionarios jerárquicos y con funciones relevantes a cargo de cada uno, la nueva norma habilita a dos apoderados a suscribir ese certificado de saldo deudor.-</w:t>
      </w:r>
    </w:p>
    <w:p>
      <w:pPr>
        <w:pStyle w:val="[Normal]"/>
        <w:spacing w:line="360" w:lineRule="auto"/>
        <w:ind w:firstLine="1134"/>
        <w:jc w:val="both"/>
        <w:rPr>
          <w:lang w:val="es-AR" w:eastAsia="es-AR" w:bidi="es-AR"/>
        </w:rPr>
      </w:pPr>
      <w:r>
        <w:rPr>
          <w:lang w:val="es-AR" w:eastAsia="es-AR" w:bidi="es-AR"/>
        </w:rPr>
        <w:t xml:space="preserve">Y esto debe ser concordado con el art. 518,  del CPCC , 542 inc. 4 del CPCC y ccs del la ley ritual en cuanto establecen claras previsiones respecto del juicio ejecutivo, los títulos y las excepciones previstas .-</w:t>
      </w:r>
    </w:p>
    <w:p>
      <w:pPr>
        <w:pStyle w:val="[Normal]"/>
        <w:spacing w:line="360" w:lineRule="auto"/>
        <w:ind w:firstLine="1134"/>
        <w:jc w:val="both"/>
        <w:rPr>
          <w:lang w:val="es-AR" w:eastAsia="es-AR" w:bidi="es-AR"/>
        </w:rPr>
      </w:pPr>
      <w:r>
        <w:rPr>
          <w:lang w:val="es-AR" w:eastAsia="es-AR" w:bidi="es-AR"/>
        </w:rPr>
        <w:t xml:space="preserve"> Haciendo un análisis de la documentación agregada por el ejecutante con su escrito de demanda, adjuntada en forma digital  al escrito de fecha 22/09/2020,  se arrimó solicitud de apertura de cuenta corriente formalizada y suscripta por Gabriel Martín Biglieri en representación de La Abuela Celia S. A., con domicilio en calle Siria 406, así como la documentación pertinente a la misma.- También mediante sistema digital  se agregó certificado de saldo deudor de la cta. cte. 6502-50095/1 registrando al 28/05/2019 un saldo adeudado de $ 1.162.697,73 signada por el apoderado del Banco de la Provincia de Buenos Aires Facundo Betbedé consignándose que es apoderado mediante escritura de fecha 27/09/2012 y por Enzo Eduardo Viora , apoderado conforme se señala por escritura del 12/07/2019.-</w:t>
      </w:r>
    </w:p>
    <w:p>
      <w:pPr>
        <w:pStyle w:val="[Normal]"/>
        <w:spacing w:line="360" w:lineRule="auto"/>
        <w:ind w:firstLine="1134"/>
        <w:jc w:val="both"/>
        <w:rPr>
          <w:lang w:val="es-AR" w:eastAsia="es-AR" w:bidi="es-AR"/>
        </w:rPr>
      </w:pPr>
      <w:r>
        <w:rPr>
          <w:lang w:val="es-AR" w:eastAsia="es-AR" w:bidi="es-AR"/>
        </w:rPr>
        <w:t xml:space="preserve">Se agregaron también copia digitalizada de las cartas documentos remitidas a La Abuela Celia S.A. suscripta por la SubGerente Alicia Burgos y la otra por Enzo Viora, conforme se </w:t>
      </w:r>
      <w:r>
        <w:rPr>
          <w:b/>
          <w:lang w:val="es-AR" w:eastAsia="es-AR" w:bidi="es-AR"/>
        </w:rPr>
        <w:t xml:space="preserve">desprende</w:t>
      </w:r>
      <w:r>
        <w:rPr>
          <w:lang w:val="es-AR" w:eastAsia="es-AR" w:bidi="es-AR"/>
        </w:rPr>
        <w:t xml:space="preserve"> del escrito electrónico de fecha 22/09/2020.-</w:t>
      </w:r>
    </w:p>
    <w:p>
      <w:pPr>
        <w:pStyle w:val="[Normal]"/>
        <w:spacing w:line="360" w:lineRule="auto"/>
        <w:ind w:firstLine="1134"/>
        <w:jc w:val="both"/>
        <w:rPr>
          <w:lang w:val="es-AR" w:eastAsia="es-AR" w:bidi="es-AR"/>
        </w:rPr>
      </w:pPr>
      <w:r>
        <w:rPr>
          <w:lang w:val="es-AR" w:eastAsia="es-AR" w:bidi="es-AR"/>
        </w:rPr>
        <w:t xml:space="preserve">Es decir de esto </w:t>
      </w:r>
      <w:r>
        <w:rPr>
          <w:b/>
          <w:lang w:val="es-AR" w:eastAsia="es-AR" w:bidi="es-AR"/>
        </w:rPr>
        <w:t xml:space="preserve">se desprende</w:t>
      </w:r>
      <w:r>
        <w:rPr>
          <w:lang w:val="es-AR" w:eastAsia="es-AR" w:bidi="es-AR"/>
        </w:rPr>
        <w:t xml:space="preserve"> tal como lo recogiera el juez de grado un titulo ejecutivo hábil para la procedencia de la ejecución entablada, como lo es la constancia de saldo deudor signada por ambos apoderados  a según surge del instrumento reseñado  y conforme a lo normado por los arts. 521 del C.P.C. y 1406 del Código Civil y Comercial Nacional vigente en el momento de la creación del título.-</w:t>
      </w:r>
    </w:p>
    <w:p>
      <w:pPr>
        <w:pStyle w:val="[Normal]"/>
        <w:spacing w:line="360" w:lineRule="auto"/>
        <w:ind w:firstLine="1134"/>
        <w:jc w:val="both"/>
        <w:rPr>
          <w:lang w:val="es-AR" w:eastAsia="es-AR" w:bidi="es-AR"/>
        </w:rPr>
      </w:pPr>
      <w:r>
        <w:rPr>
          <w:lang w:val="es-AR" w:eastAsia="es-AR" w:bidi="es-AR"/>
        </w:rPr>
        <w:t xml:space="preserve">Es sabido que resulta indiscutible la habilidad ejecutiva del saldo deudor de una cuenta corriente bancaria, la cual cerrada por la entidad previo anoticiamiento de su parte al cuentacorrentista, emite el título firmado conjuntamente por el gerente y subgerente del banco, instrumento que resulta suficiente a los fines de su ejecución. Pues a través del mismo se procura el rápido recupero mediante el proceso ejecutivo. </w:t>
      </w:r>
    </w:p>
    <w:p>
      <w:pPr>
        <w:pStyle w:val="[Normal]"/>
        <w:spacing w:line="360" w:lineRule="auto"/>
        <w:ind w:firstLine="1134"/>
        <w:jc w:val="both"/>
        <w:rPr>
          <w:lang w:val="es-AR" w:eastAsia="es-AR" w:bidi="es-AR"/>
        </w:rPr>
      </w:pPr>
      <w:r>
        <w:rPr>
          <w:lang w:val="es-AR" w:eastAsia="es-AR" w:bidi="es-AR"/>
        </w:rPr>
        <w:t xml:space="preserve">Asimismo, conocido es el criterio en cuanto resulta inadmisible cuestionar la causa de la obligación, más aún cuando como en nuestro caso existe un contrato que da nacimiento a la relación entre las partes, el cual no se encuentra expresamente desconocido por el ejecutado y el instrumento base de la presente ejecución reúne los requisitos previstos por el art. 1406 del CCyCN. </w:t>
      </w:r>
    </w:p>
    <w:p>
      <w:pPr>
        <w:pStyle w:val="[Normal]"/>
        <w:spacing w:line="360" w:lineRule="auto"/>
        <w:ind w:firstLine="1134"/>
        <w:jc w:val="both"/>
        <w:rPr>
          <w:lang w:val="es-AR" w:eastAsia="es-AR" w:bidi="es-AR"/>
        </w:rPr>
      </w:pPr>
      <w:r>
        <w:rPr>
          <w:lang w:val="es-AR" w:eastAsia="es-AR" w:bidi="es-AR"/>
        </w:rPr>
        <w:t xml:space="preserve">Se ha señalado que "El certificado de saldo deudor con las firmas del gerente y contador, gozan del valor presuncional acerca de su legitimidad, resultando improcedente averiguar o discutir la formación o liquidación del resumen, la composición del saldo o cualquier otra cuestión ajena a la observancia objetiva del título. Lo contrario sería indagar cuestiones vinculadas con la causa de la obligación instrumentada en el documento, que no pueden de ninguna manera ser introducidas en el marco de este proceso ejecutivo."  (CC0003 SM 68938 D-06/15 S 05/02/2015 Magistrados Votantes: Sanchez Pons-Gallego Tribunal Origen: CC0003SM, Sumario JUBA  B3651913).</w:t>
      </w:r>
    </w:p>
    <w:p>
      <w:pPr>
        <w:pStyle w:val="[Normal]"/>
        <w:spacing w:line="360" w:lineRule="auto"/>
        <w:ind w:firstLine="1134"/>
        <w:jc w:val="both"/>
        <w:rPr>
          <w:lang w:val="es-AR" w:eastAsia="es-AR" w:bidi="es-AR"/>
        </w:rPr>
      </w:pPr>
      <w:r>
        <w:rPr>
          <w:lang w:val="es-AR" w:eastAsia="es-AR" w:bidi="es-AR"/>
        </w:rPr>
        <w:t xml:space="preserve">Ha sostenido este Tribunal en su anterior composición y en un caso análogo al presente: "En el proceso de ejecución de un saldo deudor en cuenta corriente bancaria, se encuentra vedada la posibilidad de discutir las alternativas causales de la formación de ese saldo, siendo improcedente la excepción que pretende introducir la controversia sobre la exactitud de los saldos o la ilegitimidad de la causa. Y no otra cosa intentan los quejosos al referir, como sustento de su pretensión de que se declare la inhabilidad de título, a la ausencia de convenio o acuerdo para girar en descubierto.-" (Causa C-1998/96, 30/12/1996, RSD N° 133, Sumario JUBA B2800911). </w:t>
      </w:r>
    </w:p>
    <w:p>
      <w:pPr>
        <w:pStyle w:val="[Normal]"/>
        <w:spacing w:line="360" w:lineRule="auto"/>
        <w:ind w:firstLine="1134"/>
        <w:jc w:val="both"/>
        <w:rPr>
          <w:lang w:val="es-AR" w:eastAsia="es-AR" w:bidi="es-AR"/>
        </w:rPr>
      </w:pPr>
      <w:r>
        <w:rPr>
          <w:lang w:val="es-AR" w:eastAsia="es-AR" w:bidi="es-AR"/>
        </w:rPr>
        <w:t xml:space="preserve">Más aún, la nueva normativa aplicable introduce en su art. 1406 del CCCN requisitos a los fines de garantizar la veracidad y certeza del certificado y dar con ello mayor seguridad al cuentacorrentista, evitando abusos y maniobras irregulares de los bancos, previendo "el cierre de la cuenta, la previa constitución en mora del deudor o la obtención de la conformidad del saldo deudor final, efectuados por un medio que brinde adecuada seguridad, como carta documento o telegrama colacionado dirigido al domicilio del deudor" (Conf. comentario art. 1406 del Codigo Civil y Comercial de la Nación, Julio C. Rivera-Graciela Medina, Tomo IV, Ed. La Ley, pag. 329). En nuestro caso, dichos requisitos han sido cumplidos en forma acabada por la entidad bancaria, y el ejecutado no ha cuestionado por medio fehaciente el monto reclamado, quedando en consecuencia conformado el título ejecutivo y habilitada la vía para su ejecución. </w:t>
      </w:r>
    </w:p>
    <w:p>
      <w:pPr>
        <w:pStyle w:val="[Normal]"/>
        <w:spacing w:line="360" w:lineRule="auto"/>
        <w:ind w:firstLine="1134"/>
        <w:jc w:val="both"/>
        <w:rPr>
          <w:lang w:val="es-AR" w:eastAsia="es-AR" w:bidi="es-AR"/>
        </w:rPr>
      </w:pPr>
      <w:r>
        <w:rPr>
          <w:lang w:val="es-AR" w:eastAsia="es-AR" w:bidi="es-AR"/>
        </w:rPr>
        <w:t xml:space="preserve">La disconformidad que exhibe el escrito de agravios, maguer el esfuerzo desplegado por el letrado, refiere más concretamente al disgusto sobre un resultado adverso que a la legitimidad del título, bien examinada por el juez de grado en las dos oportunidades que la ley procesal indica.-</w:t>
      </w:r>
    </w:p>
    <w:p>
      <w:pPr>
        <w:pStyle w:val="[Normal]"/>
        <w:spacing w:line="360" w:lineRule="auto"/>
        <w:ind w:firstLine="1134"/>
        <w:jc w:val="both"/>
        <w:rPr>
          <w:lang w:val="es-AR" w:eastAsia="es-AR" w:bidi="es-AR"/>
        </w:rPr>
      </w:pPr>
      <w:r>
        <w:rPr>
          <w:lang w:val="es-AR" w:eastAsia="es-AR" w:bidi="es-AR"/>
        </w:rPr>
        <w:t xml:space="preserve">Lo mismo cuando refiere a la falta de aplicación de la Ley de Defensa del Consumidor, porque si bien existe un microsistema específico de protección  y también ahora plasmado  en el Código Civil Unificado, que tiende a dar cobertura  especial a quienes se definen como consumidores o usuarios, ello no implica que han de justicarse aquellas situaciones donde se aprecia el incumplimiento en una relación negocial o como en el caso un título crediticio con fuerza ejecutiva.-</w:t>
      </w:r>
    </w:p>
    <w:p>
      <w:pPr>
        <w:pStyle w:val="[Normal]"/>
        <w:spacing w:line="360" w:lineRule="auto"/>
        <w:ind w:firstLine="1134"/>
        <w:jc w:val="both"/>
        <w:rPr>
          <w:lang w:val="es-AR" w:eastAsia="es-AR" w:bidi="es-AR"/>
        </w:rPr>
      </w:pPr>
      <w:r>
        <w:rPr>
          <w:lang w:val="es-AR" w:eastAsia="es-AR" w:bidi="es-AR"/>
        </w:rPr>
        <w:t xml:space="preserve">Respecto de las firmas insertas en el certificado   se ha señalado que "Frente a la exigencia de la firma conjunta del gerente y contador en el certificado de saldo deudor, se ha adoptado una posición que hace primar un criterio funcional en relación a la calidad de "contador" que se exige en uno de los firmantes, no siendo necesaria la autenticación de las firmas de dichos funcionarios ni la prueba de los cargos por ellos desempeñados. ( CCO Art. 793 |CC0103 MP 145192 RSI-55-10 I 23/02/2010 Carátula: BBVA Banco Francés c/Sociedad Anónima de Repostería Argentina s/Ejecución Magistrados Votantes: Zampini-Gére ).</w:t>
      </w:r>
    </w:p>
    <w:p>
      <w:pPr>
        <w:pStyle w:val="[Normal]"/>
        <w:spacing w:line="360" w:lineRule="auto"/>
        <w:ind w:firstLine="1134"/>
        <w:jc w:val="both"/>
        <w:rPr>
          <w:lang w:val="es-AR" w:eastAsia="es-AR" w:bidi="es-AR"/>
        </w:rPr>
      </w:pPr>
      <w:r>
        <w:rPr>
          <w:lang w:val="es-AR" w:eastAsia="es-AR" w:bidi="es-AR"/>
        </w:rPr>
        <w:t xml:space="preserve">La falta de suficiencia del título  que afirma el apelante en uno de los puntos de agravios referidas relativa a los que suscriben el certificado de saldo deudor, no puede ser atendida, porque además de reunir los recaudos ya explicados se ha señalado reiteradamente  que  "no existe norma positiva alguna que imponga al banco la demostración de las funciones ejercidas por los suscribientes del certificado de saldo deudor cuya formalidad satisface el art. 793 del Cód. Com., por lo que si el mismo aparece suscripto por el gerente del banco ejecutante y por otro funcionario de esa institución cuyos sellos aclaratorios le atribuyen calidad de gerente y de contador, la aptitud ejecutiva del título es incuestionable" (CC. 1º, SI, 78361, RSI- 98,S,6-10-98). CC0000 NE 8354 I 04/07/2008.-</w:t>
      </w:r>
    </w:p>
    <w:p>
      <w:pPr>
        <w:pStyle w:val="[Normal]"/>
        <w:spacing w:line="360" w:lineRule="auto"/>
        <w:ind w:firstLine="1134"/>
        <w:jc w:val="both"/>
        <w:rPr>
          <w:lang w:val="es-AR" w:eastAsia="es-AR" w:bidi="es-AR"/>
        </w:rPr>
      </w:pPr>
      <w:r>
        <w:rPr>
          <w:lang w:val="es-AR" w:eastAsia="es-AR" w:bidi="es-AR"/>
        </w:rPr>
        <w:t xml:space="preserve">Y por último sabido es que uno de los recaudos formales ineludibles -por principio- para que prospere la excepción de inhabilidad de título es el de negar expresamente la deuda. Porque lo contrario no supone otra cosa que un reconocimiento de la obligación que se reclama por esta vía, circunstancia que torna irrelevante analizar los aspectos formales del documento ya que la cuestión queda zanjada con la admisión de la calidad de deudor (doctr. arts. 505 inc. 1, 718, 720 y nota al art. 3989 del C.Civil; doctr. art. 354 inc. 1, 484 y 547 "in fine" del C.Proc.).-.CCI Art. 720 | CCI Art. 718 | CPCB Art. 547 Ver Norma | CCI Art. 505 Inc. 1 | CPCB Art. 354 Inc. 1 Ver Norma | CCI Art. 3989 | CPCB Art. 484 Ver Norma |CC0000 TL 10644 RSD-141-21 S 05/11/1992 Juez LETTIERI (SD)Carátula: Maestre, Raúl Pedro c/Tapia, Ernesto Gabriel y otra s/Cobro ejecutivo).-</w:t>
      </w:r>
    </w:p>
    <w:p>
      <w:pPr>
        <w:pStyle w:val="[Normal]"/>
        <w:spacing w:line="360" w:lineRule="auto"/>
        <w:ind w:firstLine="1134"/>
        <w:jc w:val="both"/>
        <w:rPr>
          <w:lang w:val="es-AR" w:eastAsia="es-AR" w:bidi="es-AR"/>
        </w:rPr>
      </w:pPr>
      <w:r>
        <w:rPr>
          <w:lang w:val="es-AR" w:eastAsia="es-AR" w:bidi="es-AR"/>
        </w:rPr>
        <w:t xml:space="preserve">Tópico que fuera abordado por el Juez de grado y que tampoco ha sido conmovido por los agravios.-</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los Sres. Jueces Roberto Degleue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Desestimar el recurso de apelación traído, confirmando la sentencia de primera instancia en todas sus partes.-</w:t>
      </w:r>
    </w:p>
    <w:p>
      <w:pPr>
        <w:pStyle w:val="[Normal]"/>
        <w:spacing w:line="360" w:lineRule="auto"/>
        <w:ind w:firstLine="1134"/>
        <w:jc w:val="both"/>
        <w:rPr>
          <w:lang w:val="es-AR" w:eastAsia="es-AR" w:bidi="es-AR"/>
        </w:rPr>
      </w:pPr>
      <w:r>
        <w:rPr>
          <w:lang w:val="es-AR" w:eastAsia="es-AR" w:bidi="es-AR"/>
        </w:rPr>
        <w:t xml:space="preserve">Costas al apelante devinto (art. 68 del CPCC).-</w:t>
      </w:r>
    </w:p>
    <w:p>
      <w:pPr>
        <w:pStyle w:val="[Normal]"/>
        <w:spacing w:line="360" w:lineRule="auto"/>
        <w:ind w:firstLine="1134"/>
        <w:jc w:val="both"/>
        <w:rPr>
          <w:lang w:val="es-AR" w:eastAsia="es-AR" w:bidi="es-AR"/>
        </w:rPr>
      </w:pPr>
      <w:r>
        <w:rPr>
          <w:lang w:val="es-AR" w:eastAsia="es-AR" w:bidi="es-AR"/>
        </w:rPr>
        <w:t xml:space="preserve">Diferir la regulación de honorarios hasta tanto obre en autos liquidación firme (art. 51 ley 14.967)</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Roberto Degleue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Desestimar el recurso de apelación traído, confirmando la sentencia de primera instancia en todas sus partes.-</w:t>
      </w:r>
    </w:p>
    <w:p>
      <w:pPr>
        <w:pStyle w:val="[Normal]"/>
        <w:spacing w:line="360" w:lineRule="auto"/>
        <w:ind w:firstLine="1134"/>
        <w:jc w:val="both"/>
        <w:rPr>
          <w:lang w:val="es-AR" w:eastAsia="es-AR" w:bidi="es-AR"/>
        </w:rPr>
      </w:pPr>
      <w:r>
        <w:rPr>
          <w:lang w:val="es-AR" w:eastAsia="es-AR" w:bidi="es-AR"/>
        </w:rPr>
        <w:t xml:space="preserve">Costas al apelante devinto (art. 68 del CPCC).-</w:t>
      </w:r>
    </w:p>
    <w:p>
      <w:pPr>
        <w:pStyle w:val="[Normal]"/>
        <w:spacing w:line="360" w:lineRule="auto"/>
        <w:ind w:firstLine="1134"/>
        <w:jc w:val="both"/>
        <w:rPr>
          <w:lang w:val="es-AR" w:eastAsia="es-AR" w:bidi="es-AR"/>
        </w:rPr>
      </w:pPr>
      <w:r>
        <w:rPr>
          <w:lang w:val="es-AR" w:eastAsia="es-AR" w:bidi="es-AR"/>
        </w:rPr>
        <w:t xml:space="preserve">Diferir la regulación de honorarios hasta tanto obre en autos liquidación firme (art. 51 ley 14.967).-</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p>
    <w:p>
      <w:pPr>
        <w:pStyle w:val="[Normal]"/>
        <w:rPr>
          <w:color w:val="000000"/>
          <w:lang w:val="es-AR" w:eastAsia="es-AR" w:bidi="es-AR"/>
        </w:rPr>
      </w:pPr>
      <w:r>
        <w:rPr>
          <w:color w:val="000000"/>
          <w:lang w:val="es-AR" w:eastAsia="es-AR" w:bidi="es-AR"/>
        </w:rPr>
        <w:t xml:space="preserve">27300896621@BAPRO.NOTIFICACIONES</w:t>
      </w:r>
    </w:p>
    <w:p>
      <w:pPr>
        <w:pStyle w:val="[Normal]"/>
        <w:rPr>
          <w:color w:val="000000"/>
          <w:lang w:val="es-AR" w:eastAsia="es-AR" w:bidi="es-AR"/>
        </w:rPr>
      </w:pPr>
      <w:r>
        <w:rPr>
          <w:color w:val="000000"/>
          <w:lang w:val="es-AR" w:eastAsia="es-AR" w:bidi="es-AR"/>
        </w:rPr>
        <w:t xml:space="preserve">27139442240@NOTIFICACIONES.SCBA.GOV.AR</w:t>
      </w: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20/05/2021 10:50:13 -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20/05/2021 11:15:55 -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20/05/2021 11:21:24 -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20/05/2021 11:46:22 -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27139442240@NOTIFICACIONES.SCBA.GOV.AR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27300896621@BAPRO.NOTIFICACIONES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‰7S")è%0{f5Š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235102090005169170</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4002EFF" w:usb1="C000247B" w:usb2="00000009" w:usb3="00000000" w:csb0="200001FF"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4232 - 21 - BANCO PROVINCIA  C/ LA ABUELA CELIA S.A  S/ COBRO EJECUTIVO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‰7S")è%0{f5Š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235102090005169170</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STRONG">
    <w:name w:val="STRONG"/>
    <w:qFormat/>
    <w:rPr>
      <w:b/>
      <w:bCs/>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 w:type="paragraph" w:styleId="Normal">
    <w:name w:val="Normal"/>
    <w:next w:val="Normal"/>
    <w:qFormat/>
    <w:pPr>
      <w:widowControl w:val="on"/>
      <w:shd w:val="clear" w:color="auto" w:fill="auto"/>
      <w:spacing w:before="0" w:after="160" w:line="259" w:lineRule="auto"/>
      <w:ind w:left="0" w:right="0" w:firstLine="0"/>
      <w:jc w:val="left"/>
    </w:pPr>
    <w:rPr>
      <w:rFonts w:ascii="Calibri" w:hAnsi="Calibri" w:eastAsia="Calibri" w:cs="Calibri"/>
      <w:b w:val="off"/>
      <w:bCs w:val="off"/>
      <w:i w:val="off"/>
      <w:iCs w:val="off"/>
      <w:strike w:val="off"/>
      <w:color w:val="auto"/>
      <w:position w:val="0"/>
      <w:sz w:val="22"/>
      <w:szCs w:val="22"/>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