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67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364/371</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4252-21</w:t>
      </w:r>
      <w:r>
        <w:rPr>
          <w:lang w:val="es-AR" w:eastAsia="es-AR" w:bidi="es-AR"/>
        </w:rPr>
        <w:t xml:space="preserve"> caratulada </w:t>
      </w:r>
      <w:r>
        <w:rPr>
          <w:b/>
          <w:lang w:val="es-AR" w:eastAsia="es-AR" w:bidi="es-AR"/>
        </w:rPr>
        <w:t xml:space="preserve">"</w:t>
      </w:r>
      <w:r>
        <w:rPr>
          <w:b/>
          <w:color w:val="000000"/>
          <w:lang w:val="es-AR" w:eastAsia="es-AR" w:bidi="es-AR"/>
        </w:rPr>
        <w:t xml:space="preserve">OCHOA, MARIA JOSE C/ ERRASTI, CESAR GERMAN S/ INCIDENTE DE ALIMENTOS</w:t>
      </w:r>
      <w:r>
        <w:rPr>
          <w:b/>
          <w:lang w:val="es-AR" w:eastAsia="es-AR" w:bidi="es-AR"/>
        </w:rPr>
        <w:t xml:space="preserve">"</w:t>
      </w:r>
      <w:r>
        <w:rPr>
          <w:lang w:val="es-AR" w:eastAsia="es-AR" w:bidi="es-AR"/>
        </w:rPr>
        <w:t xml:space="preserve">, Expte. N° </w:t>
      </w:r>
      <w:r>
        <w:rPr>
          <w:color w:val="000000"/>
          <w:lang w:val="es-AR" w:eastAsia="es-AR" w:bidi="es-AR"/>
        </w:rPr>
        <w:t xml:space="preserve">39.694</w:t>
      </w:r>
      <w:r>
        <w:rPr>
          <w:color w:val="000000"/>
          <w:lang w:val="es-AR" w:eastAsia="es-AR" w:bidi="es-AR"/>
        </w:rPr>
        <w:t xml:space="preserve"> </w:t>
      </w:r>
      <w:r>
        <w:rPr>
          <w:lang w:val="es-AR" w:eastAsia="es-AR" w:bidi="es-AR"/>
        </w:rPr>
        <w:t xml:space="preserve"> del Juzgado de Paz Letrado de Colón , se practicó el sorteo de ley que determinó que la votación debía efectuarse en el siguiente orden: Graciela </w:t>
      </w:r>
      <w:r>
        <w:rPr>
          <w:color w:val="000000"/>
          <w:lang w:val="es-AR" w:eastAsia="es-AR" w:bidi="es-AR"/>
        </w:rPr>
        <w:t xml:space="preserve">Scaraffia, Roberto Degleue y Bernardo  Louise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w:t>
      </w:r>
      <w:r>
        <w:rPr>
          <w:color w:val="000000"/>
          <w:lang w:val="es-AR" w:eastAsia="es-AR" w:bidi="es-AR"/>
        </w:rPr>
        <w:t xml:space="preserve">Scaraffia</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1) La Sra. Jueza de la anterior instancia hizo  lugar parcialmente  a la demanda de aumento de cuota alimentaria incoada por la Sra. María José Ochoa, en beneficio de E., P. y E., J.S. E, contra el Sr. César Germán Errasti. Y lo  condenó  a abonar como cuota alimentaria mensual el veinticinco por ciento POR CIENTO (25%) de los haberes que por todo concepto perciba el demandado. El porcentaje deberá ser calculado sobre los haberes brutos del demandado efectuando solo las DEDUCCIONES DE LEY</w:t>
      </w:r>
      <w:r>
        <w:rPr>
          <w:b/>
          <w:lang w:val="es-AR" w:eastAsia="es-AR" w:bidi="es-AR"/>
        </w:rPr>
        <w:t xml:space="preserve"> </w:t>
      </w:r>
      <w:r>
        <w:rPr>
          <w:lang w:val="es-AR" w:eastAsia="es-AR" w:bidi="es-AR"/>
        </w:rPr>
        <w:t xml:space="preserve">, con mas asignaciones familiares que se perciban por los menores de edad de autos. Dicha cuota deberá ser abonada mediante depósito en cuenta bancaria de la Sra. Ochoa, del 1 -10 de cada mes y la del mes en curso dentro de los 10 días de notificada la presente bajo apercibimiento de ejecución.  La cuota fijada tiene efecto retroactivo a la fecha de inicio de la presente demanda.  Aplicó las costas a la parte demandada que resulta vencida y para mantener indemne el patrimonio de los alimentados (Art. 68 C.P.C.).- Difirió la determinación de la cuota de alimentos suplementaria hasta tanto obre en autos liquidación firme practicada por la parte interesada.-</w:t>
      </w:r>
    </w:p>
    <w:p>
      <w:pPr>
        <w:pStyle w:val="[Normal]"/>
        <w:spacing w:line="360" w:lineRule="auto"/>
        <w:ind w:firstLine="1134"/>
        <w:jc w:val="both"/>
        <w:rPr>
          <w:lang w:val="es-AR" w:eastAsia="es-AR" w:bidi="es-AR"/>
        </w:rPr>
      </w:pPr>
      <w:r>
        <w:rPr>
          <w:lang w:val="es-AR" w:eastAsia="es-AR" w:bidi="es-AR"/>
        </w:rPr>
        <w:t xml:space="preserve">2) Tal decisorio fue objeto del recurso de apelación por el demandado el 14/12/2020, concedido en relación y con efecto no suspensivo el día 21/12/2020.  El 28/12/2020 es presentado el memorial  y del mismo se dio  traslado a la contraparte el 02/02/2021.  Con fecha 19/02/2021 es evacuado el traslado por la parte actora y el 29/04/2021 por la Sra. Asesora de Incapaces. El  29/04/2021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3) Se duele el quejoso señalando que cuando se fijó el porcentaje en los sucesivos acuerdos  que sirven de antecedente  no se tuvo en cuenta la existencia de otra hija nacida con posterioridad a aquel  y con problemas de salud que fueron acreditados en forma documental .-. Dice que su actual situación no le permite sostener lo impuesto,  pidiendo se establezca un monto fijo, aduciendo también que no se afecte su aguinaldo, vacaciones y horas extras ya que ello son un derecho  para el trabajador .</w:t>
      </w:r>
    </w:p>
    <w:p>
      <w:pPr>
        <w:pStyle w:val="[Normal]"/>
        <w:spacing w:line="360" w:lineRule="auto"/>
        <w:ind w:firstLine="1134"/>
        <w:jc w:val="both"/>
        <w:rPr>
          <w:lang w:val="es-AR" w:eastAsia="es-AR" w:bidi="es-AR"/>
        </w:rPr>
      </w:pPr>
      <w:r>
        <w:rPr>
          <w:lang w:val="es-AR" w:eastAsia="es-AR" w:bidi="es-AR"/>
        </w:rPr>
        <w:t xml:space="preserve">4) La contraria al evacuar el traslado se opone a la pretensión, señalando que el parámetro fijo  dispuesto en la sentencia  evita dispendios jurisdiccionales con nuevos expedientes  así también que el aguinaldo y las vacaciones forman parte del sueldo, insistiendo en que se confirme lo decidido. </w:t>
      </w:r>
    </w:p>
    <w:p>
      <w:pPr>
        <w:pStyle w:val="[Normal]"/>
        <w:spacing w:line="360" w:lineRule="auto"/>
        <w:ind w:firstLine="1134"/>
        <w:jc w:val="both"/>
        <w:rPr>
          <w:lang w:val="es-AR" w:eastAsia="es-AR" w:bidi="es-AR"/>
        </w:rPr>
      </w:pPr>
      <w:r>
        <w:rPr>
          <w:lang w:val="es-AR" w:eastAsia="es-AR" w:bidi="es-AR"/>
        </w:rPr>
        <w:t xml:space="preserve">Señala que también la hija en común beneficiaria de estos alimentos, también tiene problemas de salud que deben ser afrontados exclusivamente por su parte.-</w:t>
      </w:r>
    </w:p>
    <w:p>
      <w:pPr>
        <w:pStyle w:val="[Normal]"/>
        <w:spacing w:line="360" w:lineRule="auto"/>
        <w:ind w:firstLine="1134"/>
        <w:jc w:val="both"/>
        <w:rPr>
          <w:lang w:val="es-AR" w:eastAsia="es-AR" w:bidi="es-AR"/>
        </w:rPr>
      </w:pPr>
      <w:r>
        <w:rPr>
          <w:lang w:val="es-AR" w:eastAsia="es-AR" w:bidi="es-AR"/>
        </w:rPr>
        <w:t xml:space="preserve">5) Entrando a resolver la queja  del demandado versa sobre la admisión parcial de aumento de cuota dispuesto por la Jueza de Grado fijando el 25% de los haberes que percibe,  en favor de  las dos hijos menores, representados por su progenitora, el que tramitara mediante incidente respectivo, con las manifestaciones  desplegadas por el quejoso quien pretende neutralizar la decisión acudiendo a dos argumentos que despliega sintéticamente; el nacimiento de otra hija con su nueva pareja aduciendo que la niña presenta problemas de salud, y que naciera con posterioridad al último de los acuerdos celebrados, la imposibilidad de afrontar el  porcentaje fijado    y que el mismo abarca también  rubros del sueldo  que son propios del trabajador.- Ofrece en definitiva la suma de $ 9.000 mensuales.-</w:t>
      </w:r>
    </w:p>
    <w:p>
      <w:pPr>
        <w:pStyle w:val="[Normal]"/>
        <w:spacing w:line="360" w:lineRule="auto"/>
        <w:ind w:firstLine="1134"/>
        <w:jc w:val="both"/>
        <w:rPr>
          <w:lang w:val="es-AR" w:eastAsia="es-AR" w:bidi="es-AR"/>
        </w:rPr>
      </w:pPr>
      <w:r>
        <w:rPr>
          <w:lang w:val="es-AR" w:eastAsia="es-AR" w:bidi="es-AR"/>
        </w:rPr>
        <w:t xml:space="preserve">Liminarmente he de señalar un yerro procesal de la operadora en sus considerandos quien señala que frente al pedido de aumento de la actora, al evacuar el traslado de demanda, el alimentado </w:t>
      </w:r>
      <w:r>
        <w:rPr>
          <w:b/>
          <w:lang w:val="es-AR" w:eastAsia="es-AR" w:bidi="es-AR"/>
        </w:rPr>
        <w:t xml:space="preserve">dedujo reconvención</w:t>
      </w:r>
      <w:r>
        <w:rPr>
          <w:lang w:val="es-AR" w:eastAsia="es-AR" w:bidi="es-AR"/>
        </w:rPr>
        <w:t xml:space="preserve">,  más ha de puntualizarse que sin perjuicio de que se han tenido en cuenta las postulaciones que formaron parte de los hechos controvertidos, tal instituto -</w:t>
      </w:r>
      <w:r>
        <w:rPr>
          <w:b/>
          <w:lang w:val="es-AR" w:eastAsia="es-AR" w:bidi="es-AR"/>
        </w:rPr>
        <w:t xml:space="preserve">el de la reconvención</w:t>
      </w:r>
      <w:r>
        <w:rPr>
          <w:lang w:val="es-AR" w:eastAsia="es-AR" w:bidi="es-AR"/>
        </w:rPr>
        <w:t xml:space="preserve">- solo se admite en los juicios ordinarios, previsto en el art 355 del CPCC, en el proceso sumario conforme lo normado por el art. 485 del CPCC con las limitaciones allí dispuestas, no se admite en los sumarísimos y tampoco en los incidentes regidos por   los arts. 175 y ccs del CPCC y su doctrina.-  Y aquí se trata de un incidente,  por tanto la genérica expresión de postulaciones deducidas en un escrito reconvencional es una  errónea referencia, aunque no incida en el alcance del decisorio .</w:t>
      </w:r>
    </w:p>
    <w:p>
      <w:pPr>
        <w:pStyle w:val="[Normal]"/>
        <w:spacing w:line="360" w:lineRule="auto"/>
        <w:ind w:firstLine="1134"/>
        <w:jc w:val="both"/>
        <w:rPr>
          <w:lang w:val="es-AR" w:eastAsia="es-AR" w:bidi="es-AR"/>
        </w:rPr>
      </w:pPr>
      <w:r>
        <w:rPr>
          <w:lang w:val="es-AR" w:eastAsia="es-AR" w:bidi="es-AR"/>
        </w:rPr>
        <w:t xml:space="preserve">Pero en lo que aquí interesa el aumento pedido y que fuera controvertido por el obligado al pago quien en el responde solicitara la reducción, fue decidido teniendo en cuenta diversas constancias probatorias,  como fueron los propios acuerdos que celebraron los litigantes a través del tiempo, muy bien enumerados por la jueza de grado y restante prueba documental que se reseña : a)  En los autos "OCHOA, MARÍA JOSÉ y ERRASTI, CESAR GERMÁN s/ DIVORCIO VINCULAR" Expte. Nro. 30606 acordaron con el demandado que este abonaría en concepto de cuota alimentaria el  (25%) de sus haberes y lo depositaría en la cuenta caja de ahorro de la Sra. OCHOA., lo que fue homologado en fecha 19/2/2014.</w:t>
      </w:r>
    </w:p>
    <w:p>
      <w:pPr>
        <w:pStyle w:val="[Normal]"/>
        <w:spacing w:line="360" w:lineRule="auto"/>
        <w:ind w:firstLine="1134"/>
        <w:jc w:val="both"/>
        <w:rPr>
          <w:lang w:val="es-AR" w:eastAsia="es-AR" w:bidi="es-AR"/>
        </w:rPr>
      </w:pPr>
      <w:r>
        <w:rPr>
          <w:lang w:val="es-AR" w:eastAsia="es-AR" w:bidi="es-AR"/>
        </w:rPr>
        <w:t xml:space="preserve"> En los autos caratulados "OCHOA, MARÍA JOSE c/ ERRASTI, GERMÁN CESAR S/ ALIMENTOS" Expte. Nro. 35284 acordaron que el demandado abonaría además del 25% de sus haberes la suma mensual de $1.500 en concepto de diferencias de cuotas alimentarias depositadas, el que fue homologado en fecha 1/8/2017.</w:t>
      </w:r>
    </w:p>
    <w:p>
      <w:pPr>
        <w:pStyle w:val="[Normal]"/>
        <w:spacing w:line="360" w:lineRule="auto"/>
        <w:ind w:firstLine="1134"/>
        <w:jc w:val="both"/>
        <w:rPr>
          <w:lang w:val="es-AR" w:eastAsia="es-AR" w:bidi="es-AR"/>
        </w:rPr>
      </w:pPr>
      <w:r>
        <w:rPr>
          <w:lang w:val="es-AR" w:eastAsia="es-AR" w:bidi="es-AR"/>
        </w:rPr>
        <w:t xml:space="preserve">Por ultimo, en la causa  </w:t>
      </w:r>
      <w:r>
        <w:rPr>
          <w:b/>
          <w:lang w:val="es-AR" w:eastAsia="es-AR" w:bidi="es-AR"/>
        </w:rPr>
        <w:t xml:space="preserve">Nro. 39037</w:t>
      </w:r>
      <w:r>
        <w:rPr>
          <w:lang w:val="es-AR" w:eastAsia="es-AR" w:bidi="es-AR"/>
        </w:rPr>
        <w:t xml:space="preserve"> en fecha 15/10/2019 las partes convinieron, atento al cambio de situación respecto de la residencia del hijo J.S, la modificación de la cuota alimentaria pactada oportunamente, disponiéndose que "...Con respecto a los alimentos atento el cambio en el cuidado personal las partes acuerdan que el progenitor solamente seguirá cumpliendo a partir del mes venidero con lo estipulado como cancelación de la deuda que por alimentos venía cumpliendo,</w:t>
      </w:r>
      <w:r>
        <w:rPr>
          <w:b/>
          <w:lang w:val="es-AR" w:eastAsia="es-AR" w:bidi="es-AR"/>
        </w:rPr>
        <w:t xml:space="preserve"> es decir que se deja sin efecto la actual cuota de alimentos pactada.- </w:t>
      </w:r>
      <w:r>
        <w:rPr>
          <w:lang w:val="es-AR" w:eastAsia="es-AR" w:bidi="es-AR"/>
        </w:rPr>
        <w:t xml:space="preserve">Con respecto a la asignación por el menor J.S. que lo viene percibiendo la madre dicha suma será percibida por el progenitor para lo cual solicitan se libre oficio al ANSES. Hasta que se haga efectivo por el ANSES la progenitora adquiere el compromiso de entregarlo en forma personal.- Las partes solicitan la homologación del presente.".- </w:t>
      </w:r>
      <w:r>
        <w:rPr>
          <w:b/>
          <w:lang w:val="es-AR" w:eastAsia="es-AR" w:bidi="es-AR"/>
        </w:rPr>
        <w:t xml:space="preserve">O sea el ultimo acuerdo celebrado en el expediente de mención sustituyó por voluntad de ambos los dos anteriores celebrados y cada progenitor se haría cargo de los gastos de cada hijo.</w:t>
      </w:r>
    </w:p>
    <w:p>
      <w:pPr>
        <w:pStyle w:val="[Normal]"/>
        <w:spacing w:line="360" w:lineRule="auto"/>
        <w:ind w:firstLine="1134"/>
        <w:jc w:val="both"/>
        <w:rPr>
          <w:lang w:val="es-AR" w:eastAsia="es-AR" w:bidi="es-AR"/>
        </w:rPr>
      </w:pPr>
      <w:r>
        <w:rPr>
          <w:lang w:val="es-AR" w:eastAsia="es-AR" w:bidi="es-AR"/>
        </w:rPr>
        <w:t xml:space="preserve">Pero después esta situación cambió y el hijo varón  volvió a vivir con la progenitora lo que motivó  el incidente de  pedido de aumento de cuota que hoy se encuentra en revisión.</w:t>
      </w:r>
    </w:p>
    <w:p>
      <w:pPr>
        <w:pStyle w:val="[Normal]"/>
        <w:spacing w:line="360" w:lineRule="auto"/>
        <w:ind w:firstLine="1134"/>
        <w:jc w:val="both"/>
        <w:rPr>
          <w:lang w:val="es-AR" w:eastAsia="es-AR" w:bidi="es-AR"/>
        </w:rPr>
      </w:pPr>
      <w:r>
        <w:rPr>
          <w:lang w:val="es-AR" w:eastAsia="es-AR" w:bidi="es-AR"/>
        </w:rPr>
        <w:t xml:space="preserve">b) - Asimismo , se evaluaron distintas pruebas tales como :</w:t>
      </w:r>
    </w:p>
    <w:p>
      <w:pPr>
        <w:pStyle w:val="[Normal]"/>
        <w:spacing w:line="360" w:lineRule="auto"/>
        <w:ind w:firstLine="1134"/>
        <w:jc w:val="both"/>
        <w:rPr>
          <w:lang w:val="es-AR" w:eastAsia="es-AR" w:bidi="es-AR"/>
        </w:rPr>
      </w:pPr>
      <w:r>
        <w:rPr>
          <w:lang w:val="es-AR" w:eastAsia="es-AR" w:bidi="es-AR"/>
        </w:rPr>
        <w:t xml:space="preserve">-Factura emitida por la Lic. Roulet en concepto de honorarios de tres sesiones con la niña E., E. M., por la suma de $1950.</w:t>
      </w:r>
    </w:p>
    <w:p>
      <w:pPr>
        <w:pStyle w:val="[Normal]"/>
        <w:spacing w:line="360" w:lineRule="auto"/>
        <w:ind w:firstLine="1134"/>
        <w:jc w:val="both"/>
        <w:rPr>
          <w:lang w:val="es-AR" w:eastAsia="es-AR" w:bidi="es-AR"/>
        </w:rPr>
      </w:pPr>
      <w:r>
        <w:rPr>
          <w:lang w:val="es-AR" w:eastAsia="es-AR" w:bidi="es-AR"/>
        </w:rPr>
        <w:t xml:space="preserve">-Factura emitida por ACR S.A por la suma de $1500 en concepto de prestaciones.</w:t>
      </w:r>
    </w:p>
    <w:p>
      <w:pPr>
        <w:pStyle w:val="[Normal]"/>
        <w:spacing w:line="360" w:lineRule="auto"/>
        <w:ind w:firstLine="1134"/>
        <w:jc w:val="both"/>
        <w:rPr>
          <w:lang w:val="es-AR" w:eastAsia="es-AR" w:bidi="es-AR"/>
        </w:rPr>
      </w:pPr>
      <w:r>
        <w:rPr>
          <w:lang w:val="es-AR" w:eastAsia="es-AR" w:bidi="es-AR"/>
        </w:rPr>
        <w:t xml:space="preserve">-Prescripción médica de sesiones de fonoudiología para la niña E.</w:t>
      </w:r>
    </w:p>
    <w:p>
      <w:pPr>
        <w:pStyle w:val="[Normal]"/>
        <w:spacing w:line="360" w:lineRule="auto"/>
        <w:ind w:firstLine="1134"/>
        <w:jc w:val="both"/>
        <w:rPr>
          <w:lang w:val="es-AR" w:eastAsia="es-AR" w:bidi="es-AR"/>
        </w:rPr>
      </w:pPr>
      <w:r>
        <w:rPr>
          <w:lang w:val="es-AR" w:eastAsia="es-AR" w:bidi="es-AR"/>
        </w:rPr>
        <w:t xml:space="preserve">-Certificado de asistencia a tratamiento fonoudiologico de E., E. suscripto por la profesional, Lic. Banducci.</w:t>
      </w:r>
    </w:p>
    <w:p>
      <w:pPr>
        <w:pStyle w:val="[Normal]"/>
        <w:spacing w:line="360" w:lineRule="auto"/>
        <w:ind w:firstLine="1134"/>
        <w:jc w:val="both"/>
        <w:rPr>
          <w:lang w:val="es-AR" w:eastAsia="es-AR" w:bidi="es-AR"/>
        </w:rPr>
      </w:pPr>
      <w:r>
        <w:rPr>
          <w:lang w:val="es-AR" w:eastAsia="es-AR" w:bidi="es-AR"/>
        </w:rPr>
        <w:t xml:space="preserve">-Tres recibos de haberes del demandado.</w:t>
      </w:r>
    </w:p>
    <w:p>
      <w:pPr>
        <w:pStyle w:val="[Normal]"/>
        <w:spacing w:line="360" w:lineRule="auto"/>
        <w:ind w:firstLine="1134"/>
        <w:jc w:val="both"/>
        <w:rPr>
          <w:lang w:val="es-AR" w:eastAsia="es-AR" w:bidi="es-AR"/>
        </w:rPr>
      </w:pPr>
      <w:r>
        <w:rPr>
          <w:lang w:val="es-AR" w:eastAsia="es-AR" w:bidi="es-AR"/>
        </w:rPr>
        <w:t xml:space="preserve">-Epicrisis de la paciente E., E. emitida por el servicio de pediatría de La pequeña Familia, donde se hace constar que la niña fue intervenida por pólipo a los 11 meses de edad.</w:t>
      </w:r>
    </w:p>
    <w:p>
      <w:pPr>
        <w:pStyle w:val="[Normal]"/>
        <w:spacing w:line="360" w:lineRule="auto"/>
        <w:ind w:firstLine="1134"/>
        <w:jc w:val="both"/>
        <w:rPr>
          <w:lang w:val="es-AR" w:eastAsia="es-AR" w:bidi="es-AR"/>
        </w:rPr>
      </w:pPr>
      <w:r>
        <w:rPr>
          <w:lang w:val="es-AR" w:eastAsia="es-AR" w:bidi="es-AR"/>
        </w:rPr>
        <w:t xml:space="preserve">-Tres (3) constancias de asistencia de la niña E. a control en Hospital Sor María Ludovica, ultima en fecha mes 7/2018.</w:t>
      </w:r>
    </w:p>
    <w:p>
      <w:pPr>
        <w:pStyle w:val="[Normal]"/>
        <w:spacing w:line="360" w:lineRule="auto"/>
        <w:ind w:firstLine="1134"/>
        <w:jc w:val="both"/>
        <w:rPr>
          <w:lang w:val="es-AR" w:eastAsia="es-AR" w:bidi="es-AR"/>
        </w:rPr>
      </w:pPr>
      <w:r>
        <w:rPr>
          <w:lang w:val="es-AR" w:eastAsia="es-AR" w:bidi="es-AR"/>
        </w:rPr>
        <w:t xml:space="preserve">-Prescripción médica de TC a la niña E. de fecha 13/7/2020.</w:t>
      </w:r>
    </w:p>
    <w:p>
      <w:pPr>
        <w:pStyle w:val="[Normal]"/>
        <w:spacing w:line="360" w:lineRule="auto"/>
        <w:ind w:firstLine="1134"/>
        <w:jc w:val="both"/>
        <w:rPr>
          <w:lang w:val="es-AR" w:eastAsia="es-AR" w:bidi="es-AR"/>
        </w:rPr>
      </w:pPr>
      <w:r>
        <w:rPr>
          <w:lang w:val="es-AR" w:eastAsia="es-AR" w:bidi="es-AR"/>
        </w:rPr>
        <w:t xml:space="preserve">-Certificado emitido por el Dr. Oggero en fecha 11/05/18.</w:t>
      </w:r>
    </w:p>
    <w:p>
      <w:pPr>
        <w:pStyle w:val="[Normal]"/>
        <w:spacing w:line="360" w:lineRule="auto"/>
        <w:ind w:firstLine="1134"/>
        <w:jc w:val="both"/>
        <w:rPr>
          <w:lang w:val="es-AR" w:eastAsia="es-AR" w:bidi="es-AR"/>
        </w:rPr>
      </w:pPr>
      <w:r>
        <w:rPr>
          <w:lang w:val="es-AR" w:eastAsia="es-AR" w:bidi="es-AR"/>
        </w:rPr>
        <w:t xml:space="preserve">-Acta de nacimiento de E., E. M.</w:t>
      </w:r>
    </w:p>
    <w:p>
      <w:pPr>
        <w:pStyle w:val="[Normal]"/>
        <w:spacing w:line="360" w:lineRule="auto"/>
        <w:ind w:firstLine="1134"/>
        <w:jc w:val="both"/>
        <w:rPr>
          <w:lang w:val="es-AR" w:eastAsia="es-AR" w:bidi="es-AR"/>
        </w:rPr>
      </w:pPr>
      <w:r>
        <w:rPr>
          <w:lang w:val="es-AR" w:eastAsia="es-AR" w:bidi="es-AR"/>
        </w:rPr>
        <w:t xml:space="preserve">-Constancia de inscripción en MONOTRIBUTO de la actora, de la cual surge que se encuentra empadronada en CATEGORIA B.</w:t>
      </w:r>
    </w:p>
    <w:p>
      <w:pPr>
        <w:pStyle w:val="[Normal]"/>
        <w:spacing w:line="360" w:lineRule="auto"/>
        <w:ind w:firstLine="1134"/>
        <w:jc w:val="both"/>
        <w:rPr>
          <w:lang w:val="es-AR" w:eastAsia="es-AR" w:bidi="es-AR"/>
        </w:rPr>
      </w:pPr>
      <w:r>
        <w:rPr>
          <w:lang w:val="es-AR" w:eastAsia="es-AR" w:bidi="es-AR"/>
        </w:rPr>
        <w:t xml:space="preserve">-En fecha 17/7/2020 la letrada del Señor Errasti acompaña recibo de haberes correspondiente al mes de Junio de 2020, los que ascienden a la suma de $50.352.</w:t>
      </w:r>
    </w:p>
    <w:p>
      <w:pPr>
        <w:pStyle w:val="[Normal]"/>
        <w:spacing w:line="360" w:lineRule="auto"/>
        <w:ind w:firstLine="1134"/>
        <w:jc w:val="both"/>
        <w:rPr>
          <w:lang w:val="es-AR" w:eastAsia="es-AR" w:bidi="es-AR"/>
        </w:rPr>
      </w:pPr>
      <w:r>
        <w:rPr>
          <w:lang w:val="es-AR" w:eastAsia="es-AR" w:bidi="es-AR"/>
        </w:rPr>
        <w:t xml:space="preserve">c)  Informativa:</w:t>
      </w:r>
    </w:p>
    <w:p>
      <w:pPr>
        <w:pStyle w:val="[Normal]"/>
        <w:spacing w:line="360" w:lineRule="auto"/>
        <w:ind w:firstLine="1134"/>
        <w:jc w:val="both"/>
        <w:rPr>
          <w:lang w:val="es-AR" w:eastAsia="es-AR" w:bidi="es-AR"/>
        </w:rPr>
      </w:pPr>
      <w:r>
        <w:rPr>
          <w:lang w:val="es-AR" w:eastAsia="es-AR" w:bidi="es-AR"/>
        </w:rPr>
        <w:t xml:space="preserve">En fecha 6/6/2020 el Banco de la Pcia. de Buenos Aires contesta oficio. De la misma surge relevante que la actora posee en dicha entidad bancaria una caja de ahorro cuenta sueldo en pesos y una tarjeta de crédito VISA.</w:t>
      </w:r>
    </w:p>
    <w:p>
      <w:pPr>
        <w:pStyle w:val="[Normal]"/>
        <w:spacing w:line="360" w:lineRule="auto"/>
        <w:ind w:firstLine="1134"/>
        <w:jc w:val="both"/>
        <w:rPr>
          <w:lang w:val="es-AR" w:eastAsia="es-AR" w:bidi="es-AR"/>
        </w:rPr>
      </w:pPr>
      <w:r>
        <w:rPr>
          <w:lang w:val="es-AR" w:eastAsia="es-AR" w:bidi="es-AR"/>
        </w:rPr>
        <w:t xml:space="preserve">De los movimientos de la caja de ahorro surge que ésta recibió en el lapso informado -29/5/2019 a 27/5/2020- de depósitos de terceros -excepto ANSES- la suma anual de $213.353,13, efectuando promedio mensual este asciende a la suma de $17.779,42. </w:t>
      </w:r>
    </w:p>
    <w:p>
      <w:pPr>
        <w:pStyle w:val="[Normal]"/>
        <w:spacing w:line="360" w:lineRule="auto"/>
        <w:ind w:firstLine="1134"/>
        <w:jc w:val="both"/>
        <w:rPr>
          <w:lang w:val="es-AR" w:eastAsia="es-AR" w:bidi="es-AR"/>
        </w:rPr>
      </w:pPr>
      <w:r>
        <w:rPr>
          <w:lang w:val="es-AR" w:eastAsia="es-AR" w:bidi="es-AR"/>
        </w:rPr>
        <w:t xml:space="preserve">En la misma cuenta el organismo ANSES deposita asignación y el padre cuota alimentaria. Respecto del primero se observa que durante todo el año, efectuando promedio, se recibieron depósitos por la suma mensual de $1533.88. El progenitor accionado ha depositado $1500 durante los meses y en el mes de Marzo, Abril y Mayo del corriente deposito cuota alimentaria la que asciende en a $11.518; 14.525,75 y $11.000 respectivamente.</w:t>
      </w:r>
    </w:p>
    <w:p>
      <w:pPr>
        <w:pStyle w:val="[Normal]"/>
        <w:spacing w:line="360" w:lineRule="auto"/>
        <w:ind w:firstLine="1134"/>
        <w:jc w:val="both"/>
        <w:rPr>
          <w:lang w:val="es-AR" w:eastAsia="es-AR" w:bidi="es-AR"/>
        </w:rPr>
      </w:pPr>
      <w:r>
        <w:rPr>
          <w:lang w:val="es-AR" w:eastAsia="es-AR" w:bidi="es-AR"/>
        </w:rPr>
        <w:t xml:space="preserve">De la liquidación de tarjeta de crédito informada surgen consumos mensuales promedios -de Julio 2019 a Junio 2020- de $11.819,06.</w:t>
      </w:r>
    </w:p>
    <w:p>
      <w:pPr>
        <w:pStyle w:val="[Normal]"/>
        <w:spacing w:line="360" w:lineRule="auto"/>
        <w:ind w:firstLine="1134"/>
        <w:jc w:val="both"/>
        <w:rPr>
          <w:lang w:val="es-AR" w:eastAsia="es-AR" w:bidi="es-AR"/>
        </w:rPr>
      </w:pPr>
      <w:r>
        <w:rPr>
          <w:lang w:val="es-AR" w:eastAsia="es-AR" w:bidi="es-AR"/>
        </w:rPr>
        <w:t xml:space="preserve">Se observa que generalmente se abona el saldo mínimo o un poco más pero rara vez se abona el total adeudado y las compras se relacionan generalmente con productos de indumentaria, de la profesión de la titular y gastos de supermercado.</w:t>
      </w:r>
    </w:p>
    <w:p>
      <w:pPr>
        <w:pStyle w:val="[Normal]"/>
        <w:spacing w:line="360" w:lineRule="auto"/>
        <w:ind w:firstLine="1134"/>
        <w:jc w:val="both"/>
        <w:rPr>
          <w:lang w:val="es-AR" w:eastAsia="es-AR" w:bidi="es-AR"/>
        </w:rPr>
      </w:pPr>
      <w:r>
        <w:rPr>
          <w:lang w:val="es-AR" w:eastAsia="es-AR" w:bidi="es-AR"/>
        </w:rPr>
        <w:t xml:space="preserve">Las compras son en cuotas y no aparecen montos exorbitantes, por el contrario.</w:t>
      </w:r>
    </w:p>
    <w:p>
      <w:pPr>
        <w:pStyle w:val="[Normal]"/>
        <w:spacing w:line="360" w:lineRule="auto"/>
        <w:ind w:firstLine="1134"/>
        <w:jc w:val="both"/>
        <w:rPr>
          <w:lang w:val="es-AR" w:eastAsia="es-AR" w:bidi="es-AR"/>
        </w:rPr>
      </w:pPr>
      <w:r>
        <w:rPr>
          <w:lang w:val="es-AR" w:eastAsia="es-AR" w:bidi="es-AR"/>
        </w:rPr>
        <w:t xml:space="preserve">-En fecha 27/6/2020 se adjunta contestación oficio remitida por el Banco Central. De la misma surge que la Sra. Ochoa resultaría cliente del Banco de la Pcia de Buenos Aires y Banco Santader Río.-</w:t>
      </w:r>
    </w:p>
    <w:p>
      <w:pPr>
        <w:pStyle w:val="[Normal]"/>
        <w:spacing w:line="360" w:lineRule="auto"/>
        <w:ind w:firstLine="1134"/>
        <w:jc w:val="both"/>
        <w:rPr>
          <w:lang w:val="es-AR" w:eastAsia="es-AR" w:bidi="es-AR"/>
        </w:rPr>
      </w:pPr>
      <w:r>
        <w:rPr>
          <w:lang w:val="es-AR" w:eastAsia="es-AR" w:bidi="es-AR"/>
        </w:rPr>
        <w:t xml:space="preserve">- En fecha 6/7/2020 Correo Argentino contesta oficio e informa haberes mensuales brutos de la demandada los que ascienden a la suma de $69.696,34.</w:t>
      </w:r>
    </w:p>
    <w:p>
      <w:pPr>
        <w:pStyle w:val="[Normal]"/>
        <w:spacing w:line="360" w:lineRule="auto"/>
        <w:ind w:firstLine="1134"/>
        <w:jc w:val="both"/>
        <w:rPr>
          <w:lang w:val="es-AR" w:eastAsia="es-AR" w:bidi="es-AR"/>
        </w:rPr>
      </w:pPr>
      <w:r>
        <w:rPr>
          <w:lang w:val="es-AR" w:eastAsia="es-AR" w:bidi="es-AR"/>
        </w:rPr>
        <w:t xml:space="preserve"> d) .- Informes socioambientales:</w:t>
      </w:r>
    </w:p>
    <w:p>
      <w:pPr>
        <w:pStyle w:val="[Normal]"/>
        <w:spacing w:line="360" w:lineRule="auto"/>
        <w:ind w:firstLine="1134"/>
        <w:jc w:val="both"/>
        <w:rPr>
          <w:lang w:val="es-AR" w:eastAsia="es-AR" w:bidi="es-AR"/>
        </w:rPr>
      </w:pPr>
      <w:r>
        <w:rPr>
          <w:lang w:val="es-AR" w:eastAsia="es-AR" w:bidi="es-AR"/>
        </w:rPr>
        <w:t xml:space="preserve">Del informe practicado en el domicilio de la Sra. Ochoa surge relevante para la resolución de la presente que la misma reside en una vivienda de Barrio Esperanza -la que ha sido adjudicada a las partes- junto a los menores de edad de autos.  La vivienda posee servicios de agua corriente, gas natural, cloacas. TV por cable, internet y cámaras de seguridad.</w:t>
      </w:r>
    </w:p>
    <w:p>
      <w:pPr>
        <w:pStyle w:val="[Normal]"/>
        <w:spacing w:line="360" w:lineRule="auto"/>
        <w:ind w:firstLine="1134"/>
        <w:jc w:val="both"/>
        <w:rPr>
          <w:lang w:val="es-AR" w:eastAsia="es-AR" w:bidi="es-AR"/>
        </w:rPr>
      </w:pPr>
      <w:r>
        <w:rPr>
          <w:lang w:val="es-AR" w:eastAsia="es-AR" w:bidi="es-AR"/>
        </w:rPr>
        <w:t xml:space="preserve">En la misma la Sra. Ochoa tiene instalado su consultorio odontológico.</w:t>
      </w:r>
    </w:p>
    <w:p>
      <w:pPr>
        <w:pStyle w:val="[Normal]"/>
        <w:spacing w:line="360" w:lineRule="auto"/>
        <w:ind w:firstLine="1134"/>
        <w:jc w:val="both"/>
        <w:rPr>
          <w:lang w:val="es-AR" w:eastAsia="es-AR" w:bidi="es-AR"/>
        </w:rPr>
      </w:pPr>
      <w:r>
        <w:rPr>
          <w:lang w:val="es-AR" w:eastAsia="es-AR" w:bidi="es-AR"/>
        </w:rPr>
        <w:t xml:space="preserve">En el aspecto económico la entrevistada manifiesta tener ingresos promedios por la suma de $20.000 mensuales. Reseña gastos fijos por la suma de $ 13.100 más $5.000 mensuales por tratamiento médico y farmacológico de la Sra. Ochoa con más gastos de mantenimiento del vehículo automotor.</w:t>
      </w:r>
    </w:p>
    <w:p>
      <w:pPr>
        <w:pStyle w:val="[Normal]"/>
        <w:spacing w:line="360" w:lineRule="auto"/>
        <w:ind w:firstLine="1134"/>
        <w:jc w:val="both"/>
        <w:rPr>
          <w:lang w:val="es-AR" w:eastAsia="es-AR" w:bidi="es-AR"/>
        </w:rPr>
      </w:pPr>
      <w:r>
        <w:rPr>
          <w:lang w:val="es-AR" w:eastAsia="es-AR" w:bidi="es-AR"/>
        </w:rPr>
        <w:t xml:space="preserve">En el aspecto sanitario se hace constar que los alimentados poseen obra social provista por el padre. La Sra. Ochoa no posee obra social porque adeuda a la Caja de Odontólogos.</w:t>
      </w:r>
    </w:p>
    <w:p>
      <w:pPr>
        <w:pStyle w:val="[Normal]"/>
        <w:spacing w:line="360" w:lineRule="auto"/>
        <w:ind w:firstLine="1134"/>
        <w:jc w:val="both"/>
        <w:rPr>
          <w:lang w:val="es-AR" w:eastAsia="es-AR" w:bidi="es-AR"/>
        </w:rPr>
      </w:pPr>
      <w:r>
        <w:rPr>
          <w:lang w:val="es-AR" w:eastAsia="es-AR" w:bidi="es-AR"/>
        </w:rPr>
        <w:t xml:space="preserve">Se consigna que la hija de la reclamante concurre a control médico por problemas de tiroides pero no se encuentra medicada.</w:t>
      </w:r>
    </w:p>
    <w:p>
      <w:pPr>
        <w:pStyle w:val="[Normal]"/>
        <w:spacing w:line="360" w:lineRule="auto"/>
        <w:ind w:firstLine="1134"/>
        <w:jc w:val="both"/>
        <w:rPr>
          <w:lang w:val="es-AR" w:eastAsia="es-AR" w:bidi="es-AR"/>
        </w:rPr>
      </w:pPr>
      <w:r>
        <w:rPr>
          <w:lang w:val="es-AR" w:eastAsia="es-AR" w:bidi="es-AR"/>
        </w:rPr>
        <w:t xml:space="preserve">En la evaluación del caso la Sra. Perito T.S dice que se cubren las necesidades de los convivientes, actualmente se ve afectado el ingreso principal por pandemia y se incrementaron los gastos de tratamiento de la jefa de familia. En el aspecto habitacional se cubren las necesidades de los convivientes con las comodidades necesarias.</w:t>
      </w:r>
    </w:p>
    <w:p>
      <w:pPr>
        <w:pStyle w:val="[Normal]"/>
        <w:spacing w:line="360" w:lineRule="auto"/>
        <w:ind w:firstLine="1134"/>
        <w:jc w:val="both"/>
        <w:rPr>
          <w:lang w:val="es-AR" w:eastAsia="es-AR" w:bidi="es-AR"/>
        </w:rPr>
      </w:pPr>
      <w:r>
        <w:rPr>
          <w:lang w:val="es-AR" w:eastAsia="es-AR" w:bidi="es-AR"/>
        </w:rPr>
        <w:t xml:space="preserve">Del informe socioambiental practicado en el domicilio de demandado  surge que este reside en una vivienda junto a su pareja y su nueva  hija E. La vivienda es un bien que sería recibido por herencia por el padre de la conviviente del accionado,  pero no se encuentra regularizada la titularidad y existirían coherederos. La vivienda posee servicios de gas natural, cloacas, servicio de TV por cable y energía eléctrica. Cuenta con los artículos mínimos de confort para el hogar. La  pareja conviviente labora en una agencia de lotería percibiendo la suma mensual de $17.000.</w:t>
      </w:r>
    </w:p>
    <w:p>
      <w:pPr>
        <w:pStyle w:val="[Normal]"/>
        <w:spacing w:line="360" w:lineRule="auto"/>
        <w:ind w:firstLine="1134"/>
        <w:jc w:val="both"/>
        <w:rPr>
          <w:lang w:val="es-AR" w:eastAsia="es-AR" w:bidi="es-AR"/>
        </w:rPr>
      </w:pPr>
      <w:r>
        <w:rPr>
          <w:lang w:val="es-AR" w:eastAsia="es-AR" w:bidi="es-AR"/>
        </w:rPr>
        <w:t xml:space="preserve">Menciona gastos mensuales de servicios de la vivienda, escuela de la niña y tratamientos fonoaudiológico y psicológico, todo lo que asciende a la suma de  $15065. Asimismo entre las erogaciones reseña cuota de crédito por la suma de $5000 mensuales que destinó a la compra de un automóvil de uso familiar.- El grupo familiar posee obra social "La Pequeña Familia". solventada por el demandado.</w:t>
      </w:r>
    </w:p>
    <w:p>
      <w:pPr>
        <w:pStyle w:val="[Normal]"/>
        <w:spacing w:line="360" w:lineRule="auto"/>
        <w:ind w:firstLine="1134"/>
        <w:jc w:val="both"/>
        <w:rPr>
          <w:lang w:val="es-AR" w:eastAsia="es-AR" w:bidi="es-AR"/>
        </w:rPr>
      </w:pPr>
      <w:r>
        <w:rPr>
          <w:lang w:val="es-AR" w:eastAsia="es-AR" w:bidi="es-AR"/>
        </w:rPr>
        <w:t xml:space="preserve">En el aspecto sanitario se apunta el padecimiento de salud de la niña E. hija del demandado y su nueva pareja,  -polipo intestinal- y que esta debe ser controlada, realizando los mismos una vez al año en el Hospital Sor María Ludovica. Ademas ha sido diagnosticada con celiaquia pasiva y concurre a tratamiento psicológico y fonoaudiológico y que si bien la obra social cubre una parte debe abonar diferencias..</w:t>
      </w:r>
    </w:p>
    <w:p>
      <w:pPr>
        <w:pStyle w:val="[Normal]"/>
        <w:spacing w:line="360" w:lineRule="auto"/>
        <w:ind w:firstLine="1134"/>
        <w:jc w:val="both"/>
        <w:rPr>
          <w:lang w:val="es-AR" w:eastAsia="es-AR" w:bidi="es-AR"/>
        </w:rPr>
      </w:pPr>
      <w:r>
        <w:rPr>
          <w:lang w:val="es-AR" w:eastAsia="es-AR" w:bidi="es-AR"/>
        </w:rPr>
        <w:t xml:space="preserve">Sin duda que los elementos probatorios allegados en el incidente por ambas partes fueron exhaustivamente evaluados por la operadora de grado para alcanzar una decisión no siempre sencilla, en tanto se encuentran en juego los intereses de los menores y la situación económica de sus progenitores, hoy también dentro del marco de una pandemia mundial, en la que nuestro país se encuentra inmerso con las dificultades que eso también ha generado desde lo económico, familiar , laboral y  social.-</w:t>
      </w:r>
    </w:p>
    <w:p>
      <w:pPr>
        <w:pStyle w:val="[Normal]"/>
        <w:spacing w:line="360" w:lineRule="auto"/>
        <w:ind w:firstLine="1134"/>
        <w:jc w:val="both"/>
        <w:rPr>
          <w:lang w:val="es-AR" w:eastAsia="es-AR" w:bidi="es-AR"/>
        </w:rPr>
      </w:pPr>
      <w:r>
        <w:rPr>
          <w:lang w:val="es-AR" w:eastAsia="es-AR" w:bidi="es-AR"/>
        </w:rPr>
        <w:t xml:space="preserve">Las circunstancias invocadas por el demandado son ciertas: los trámites anteriores exhiben   acuerdos que se cumplían y que estaban en ese piso  del 25%  -enumerados detalladamente supra- , pero luego también hubo otro acuerdo que contempló otra situación especifica (traslado del menor a la casa del padre a vivir) lo que llevara a que se dejara sin efecto los primeros, conviniéndose que cada uno se haría cargo  de los gastos del del hijo conviviente .- También es cierto que ello volvió a cambiar en tanto el varón vuelve a vivir con la madre y se genera la demanda incidental de aumento.</w:t>
      </w:r>
    </w:p>
    <w:p>
      <w:pPr>
        <w:pStyle w:val="[Normal]"/>
        <w:spacing w:line="360" w:lineRule="auto"/>
        <w:ind w:firstLine="1134"/>
        <w:jc w:val="both"/>
        <w:rPr>
          <w:lang w:val="es-AR" w:eastAsia="es-AR" w:bidi="es-AR"/>
        </w:rPr>
      </w:pPr>
      <w:r>
        <w:rPr>
          <w:lang w:val="es-AR" w:eastAsia="es-AR" w:bidi="es-AR"/>
        </w:rPr>
        <w:t xml:space="preserve">En ese lapso  nació una nueva hija de otra convivencia del demandado  y la misma padece problemas de salud, probados con los distintos certificados que dan cuenta que es celiaca, tiene pólipos, problemas de crecimiento del maxilar superior y que debe realizar un tratamiento de varios años, recibiendo atención en el Hospital de Niños de la ciudad de La Plata, lo que obliga al demandado a viajes a esa ciudad  .-</w:t>
      </w:r>
    </w:p>
    <w:p>
      <w:pPr>
        <w:pStyle w:val="[Normal]"/>
        <w:spacing w:line="360" w:lineRule="auto"/>
        <w:ind w:firstLine="1134"/>
        <w:jc w:val="both"/>
        <w:rPr>
          <w:lang w:val="es-AR" w:eastAsia="es-AR" w:bidi="es-AR"/>
        </w:rPr>
      </w:pPr>
      <w:r>
        <w:rPr>
          <w:lang w:val="es-AR" w:eastAsia="es-AR" w:bidi="es-AR"/>
        </w:rPr>
        <w:t xml:space="preserve">También es cierto lo que menciona la actora: que la hija mujer y su hijo varón de 17 años, viven con ella y que ello le importa mayores erogaciones.-</w:t>
      </w:r>
    </w:p>
    <w:p>
      <w:pPr>
        <w:pStyle w:val="[Normal]"/>
        <w:spacing w:line="360" w:lineRule="auto"/>
        <w:ind w:firstLine="1134"/>
        <w:jc w:val="both"/>
        <w:rPr>
          <w:lang w:val="es-AR" w:eastAsia="es-AR" w:bidi="es-AR"/>
        </w:rPr>
      </w:pPr>
      <w:r>
        <w:rPr>
          <w:lang w:val="es-AR" w:eastAsia="es-AR" w:bidi="es-AR"/>
        </w:rPr>
        <w:t xml:space="preserve">Entiendo que la modificación de la situación fáctica exige un reexamen de las cuestiones ventiladas, y que si bien es cierto ha de hacerse lugar a un pedido de aumento de cuota con la modalidad de porcentaje fijo, hay que analizar la extensión del mismo.- El derecho de familia exhibe una dinámica fluctuante, que obliga a analizar el aquí y ahora en tanto los cambios se provocan con gran fluidez.- El marco que rodea a este entramado es complejo, y fuera de la voluntad de las partes, tal como lo es la situación sanitaria y de colapso provocada por la pandemia, que ha obligado por estos días al Poder Ejecutivo a decretar un nuevo confinamiento total, lo que sin duda provoca una gran zozobra e incertidumbre no sólo a los niños sino a quienes deben velar por ellos.-</w:t>
      </w:r>
    </w:p>
    <w:p>
      <w:pPr>
        <w:pStyle w:val="[Normal]"/>
        <w:spacing w:line="360" w:lineRule="auto"/>
        <w:ind w:firstLine="1134"/>
        <w:jc w:val="both"/>
        <w:rPr>
          <w:lang w:val="es-AR" w:eastAsia="es-AR" w:bidi="es-AR"/>
        </w:rPr>
      </w:pPr>
      <w:r>
        <w:rPr>
          <w:lang w:val="es-AR" w:eastAsia="es-AR" w:bidi="es-AR"/>
        </w:rPr>
        <w:t xml:space="preserve">Para la determinación del quantum de la cuota "Es necesario  utilizar tres técnicas de apreciación de la situación económica y social del alimentante y del alimentado.-La primera se centra en sus respectivas actividades, que no solo refieren a operaciones productivas, comerciales o laborales de los sujetos sino también a actividades de cualquier otra indole, que resulten reveladoras o indiciarias de la situación económica o social de las partes.- La segunda alude al sistema de vida de las partes, lo que presupone un examen global del modus vivendi, configurándose un indicativo relevante especialmente aquellas situaciones en las que no es posible determinar el estado patrimonial de las partes y la tercera técnica de apreciación se vincula a los ingresos del progenitor que convive con los niños.-Dato este que sirve para formarse un juicio mas exacto de la situación económica y social del alimentado.-En el fondo campea la presunción de que el alimentado coparticipa de la realidad económica del progenitor que lo tiene a su cargo cargo" .-Ac 101337 SCBA Comentado en " Derecho de Familia" de Scaraffia, Morea, Aranda, pág. 21.-</w:t>
      </w:r>
    </w:p>
    <w:p>
      <w:pPr>
        <w:pStyle w:val="[Normal]"/>
        <w:spacing w:line="360" w:lineRule="auto"/>
        <w:ind w:firstLine="1134"/>
        <w:jc w:val="both"/>
        <w:rPr>
          <w:lang w:val="es-AR" w:eastAsia="es-AR" w:bidi="es-AR"/>
        </w:rPr>
      </w:pPr>
      <w:r>
        <w:rPr>
          <w:lang w:val="es-AR" w:eastAsia="es-AR" w:bidi="es-AR"/>
        </w:rPr>
        <w:t xml:space="preserve">"Como puede advertirse, en materia de derecho de alimentario, al igual que en la rama laboral, prima con fuerza el principio de la primacía de la realidad que llama a apreciar los hechos constitutivos de las pretensiones de las partes, acordándole preferencia a los datos que emergen de la realidad fáctica por sobre aquellos que surgen de las constancias formales" cfr. obra citada.-</w:t>
      </w:r>
    </w:p>
    <w:p>
      <w:pPr>
        <w:pStyle w:val="[Normal]"/>
        <w:spacing w:line="360" w:lineRule="auto"/>
        <w:ind w:firstLine="1134"/>
        <w:jc w:val="both"/>
        <w:rPr>
          <w:lang w:val="es-AR" w:eastAsia="es-AR" w:bidi="es-AR"/>
        </w:rPr>
      </w:pPr>
      <w:r>
        <w:rPr>
          <w:lang w:val="es-AR" w:eastAsia="es-AR" w:bidi="es-AR"/>
        </w:rPr>
        <w:t xml:space="preserve">Por un lado  ha quedado acreditado que la actora tiene una profesión, es odontóloga, con el consultorio en su casa,  y que si bien se ve afectada por la pandemia, ello le permite en cierto modo proveerse de medios para subrogar los gastos de los menores, además de la obligación indiscutida del padre , porque ha de recordarse que la obligación pesa sobre ambos progenitores.- Aunque es de presumir que hay ciertos gastos de quien convive con los niños que resultan importantes en la vida cotidiana y que no obtienen su adecuada contraprestación.- Es cierto que la mayor edad de los hijos permite en cierto modo a la madre un desempeño más libre de su tiempo para dedicarlo a su profesión liberal, de ello da cuenta que está inscripta como monotributista categoría B  que tiene dos cuentas, una en el Banco de la Provincia y otro en el Santander Rio , que tiene un auto para trasladarse, que posee tarjeta de crédito.-</w:t>
      </w:r>
    </w:p>
    <w:p>
      <w:pPr>
        <w:pStyle w:val="[Normal]"/>
        <w:spacing w:line="360" w:lineRule="auto"/>
        <w:ind w:firstLine="1134"/>
        <w:jc w:val="both"/>
        <w:rPr>
          <w:lang w:val="es-AR" w:eastAsia="es-AR" w:bidi="es-AR"/>
        </w:rPr>
      </w:pPr>
      <w:r>
        <w:rPr>
          <w:lang w:val="es-AR" w:eastAsia="es-AR" w:bidi="es-AR"/>
        </w:rPr>
        <w:t xml:space="preserve">Ha de evaluarse también que  la hija y el hijo asisten a la Escuela Santa Marta -en la que se abona cuota mensual- y que la edad de los mismos (12 y 17 años)   hace presumir nuevos y mayores gastos.</w:t>
      </w:r>
    </w:p>
    <w:p>
      <w:pPr>
        <w:pStyle w:val="[Normal]"/>
        <w:spacing w:line="360" w:lineRule="auto"/>
        <w:ind w:firstLine="1134"/>
        <w:jc w:val="both"/>
        <w:rPr>
          <w:b/>
          <w:lang w:val="es-AR" w:eastAsia="es-AR" w:bidi="es-AR"/>
        </w:rPr>
      </w:pPr>
      <w:r>
        <w:rPr>
          <w:lang w:val="es-AR" w:eastAsia="es-AR" w:bidi="es-AR"/>
        </w:rPr>
        <w:t xml:space="preserve">Por su parte ha quedado probado que el demandado trabaja en el correo, que tiene un ingreso mensual probable de $ 50.000, a la fecha de la presentación de los haberes, que le provee a los dos hijos tenidos con la actora la obra social,  que la vivienda donde vive con su pareja e hija es precaria según el informe ambiental , que ha ofrecido la suma de $ 9.000 y también que se verifica que ha venido pagando lo que en distintos acuerdos se ha pactado.</w:t>
      </w:r>
    </w:p>
    <w:p>
      <w:pPr>
        <w:pStyle w:val="[Normal]"/>
        <w:spacing w:line="360" w:lineRule="auto"/>
        <w:ind w:firstLine="1134"/>
        <w:jc w:val="both"/>
        <w:rPr>
          <w:lang w:val="es-AR" w:eastAsia="es-AR" w:bidi="es-AR"/>
        </w:rPr>
      </w:pPr>
      <w:r>
        <w:rPr>
          <w:lang w:val="es-AR" w:eastAsia="es-AR" w:bidi="es-AR"/>
        </w:rPr>
        <w:t xml:space="preserve">La pretensión de reducir la cuota por el obligado y la queja desplegada en tal sentido,  se basó por un lado,  en que al momento de acordar la cuota de alimentos para los hijos de autos su hija E. no había nacido. Cuestión que no es cierta pues E. nació en fecha 6/12/2014 y en fecha 1/8/2017 se homologa el acuerdo por el cual el Sr. Errasti se compromete a abonar en concepto de cuota alimentaria, como lo venia haciendo, el 25% de sus haberes mas $1.500 en concepto de pago de diferencias de alimentos adeudadas. Acuerdo que como dije fue dejado sin efecto por las propias partes cuando el hijo varón se fue un tiempo a vivir con el padre y se llegó a un acuerdo sustitutivo del mismo.</w:t>
      </w:r>
    </w:p>
    <w:p>
      <w:pPr>
        <w:pStyle w:val="[Normal]"/>
        <w:spacing w:line="360" w:lineRule="auto"/>
        <w:ind w:firstLine="1134"/>
        <w:jc w:val="both"/>
        <w:rPr>
          <w:b/>
          <w:lang w:val="es-AR" w:eastAsia="es-AR" w:bidi="es-AR"/>
        </w:rPr>
      </w:pPr>
      <w:r>
        <w:rPr>
          <w:lang w:val="es-AR" w:eastAsia="es-AR" w:bidi="es-AR"/>
        </w:rPr>
        <w:t xml:space="preserve">Pero por otro lado, se invocó por el demandado  que la nueva hija  tiene afecciones de salud,  desde los 11 meses de vida, y concurre a tratamientos, lo que efectivamente ha sido acreditado.- Con lo cual ciertamente han de considerarse estos factores al momento de graduar la  cuota de alimentos.</w:t>
      </w:r>
    </w:p>
    <w:p>
      <w:pPr>
        <w:pStyle w:val="[Normal]"/>
        <w:spacing w:line="360" w:lineRule="auto"/>
        <w:ind w:firstLine="1134"/>
        <w:jc w:val="both"/>
        <w:rPr>
          <w:lang w:val="es-AR" w:eastAsia="es-AR" w:bidi="es-AR"/>
        </w:rPr>
      </w:pPr>
      <w:r>
        <w:rPr>
          <w:lang w:val="es-AR" w:eastAsia="es-AR" w:bidi="es-AR"/>
        </w:rPr>
        <w:t xml:space="preserve">Se ha dicho desde aquí que el nacimiento posterior de hijos del alimentante no constituye causal de dispensa total o parcial de la</w:t>
      </w:r>
      <w:r>
        <w:rPr>
          <w:b/>
          <w:lang w:val="es-AR" w:eastAsia="es-AR" w:bidi="es-AR"/>
        </w:rPr>
        <w:t xml:space="preserve"> </w:t>
      </w:r>
      <w:r>
        <w:rPr>
          <w:lang w:val="es-AR" w:eastAsia="es-AR" w:bidi="es-AR"/>
        </w:rPr>
        <w:t xml:space="preserve">obligación alimentaria (cfr Reg. nro 11/2011 de este Tribunal) comentado en la obra citada, pág. 48.- </w:t>
      </w:r>
    </w:p>
    <w:p>
      <w:pPr>
        <w:pStyle w:val="[Normal]"/>
        <w:spacing w:line="360" w:lineRule="auto"/>
        <w:ind w:firstLine="1134"/>
        <w:jc w:val="both"/>
        <w:rPr>
          <w:b/>
          <w:lang w:val="es-AR" w:eastAsia="es-AR" w:bidi="es-AR"/>
        </w:rPr>
      </w:pPr>
      <w:r>
        <w:rPr>
          <w:lang w:val="es-AR" w:eastAsia="es-AR" w:bidi="es-AR"/>
        </w:rPr>
        <w:t xml:space="preserve">Pero sin embargo esta regla no impide revisar el importe</w:t>
      </w:r>
      <w:r>
        <w:rPr>
          <w:b/>
          <w:lang w:val="es-AR" w:eastAsia="es-AR" w:bidi="es-AR"/>
        </w:rPr>
        <w:t xml:space="preserve"> </w:t>
      </w:r>
      <w:r>
        <w:rPr>
          <w:lang w:val="es-AR" w:eastAsia="es-AR" w:bidi="es-AR"/>
        </w:rPr>
        <w:t xml:space="preserve">de la cuota, conforme a una interpretación armónica del principio de igualdad (art. 16 C.N) y del interés superior del niño (art. 75 inc 22 de la C.N. y art. 3 Ley 26.601), en tanto aquí ha quedado probado que la nueva hija del obligado padece de una enfermedad que requiere tratamiento costoso y viajes a la ciudad de La Plata..-</w:t>
      </w:r>
    </w:p>
    <w:p>
      <w:pPr>
        <w:pStyle w:val="[Normal]"/>
        <w:spacing w:line="360" w:lineRule="auto"/>
        <w:ind w:firstLine="1134"/>
        <w:jc w:val="both"/>
        <w:rPr>
          <w:lang w:val="es-AR" w:eastAsia="es-AR" w:bidi="es-AR"/>
        </w:rPr>
      </w:pPr>
      <w:r>
        <w:rPr>
          <w:lang w:val="es-AR" w:eastAsia="es-AR" w:bidi="es-AR"/>
        </w:rPr>
        <w:t xml:space="preserve">También ha de evaluarse el tema de la vivienda, la actora goza de una vivienda confortable  que fuera asiento del hogar conyugal y el alimentante, según da cuenta el informe ambiental practicado en el domicilio del demandado la perito consigna: que se trata de una vivienda del padre de la conviviente de Errasti y describe</w:t>
      </w:r>
      <w:r>
        <w:rPr>
          <w:b/>
          <w:lang w:val="es-AR" w:eastAsia="es-AR" w:bidi="es-AR"/>
        </w:rPr>
        <w:t xml:space="preserve"> </w:t>
      </w:r>
      <w:r>
        <w:rPr>
          <w:lang w:val="es-AR" w:eastAsia="es-AR" w:bidi="es-AR"/>
        </w:rPr>
        <w:t xml:space="preserve">"SITUACIÓN SOCIOECONOMICA: SE CUBREN LAS NECESIDADES DEL LOS CONVIVIENTES, DIFICULTA LA SITUACIÓN LOS PROBLEMAS DE SALUD DESCRIPTOS. ASPECTO HABITACIONAL: PADECEN HACINAMIENTO. REQUIERE DE MANTENIMIENTO GENERAL.".- </w:t>
      </w:r>
    </w:p>
    <w:p>
      <w:pPr>
        <w:pStyle w:val="[Normal]"/>
        <w:spacing w:line="360" w:lineRule="auto"/>
        <w:ind w:firstLine="1134"/>
        <w:jc w:val="both"/>
        <w:rPr>
          <w:lang w:val="es-AR" w:eastAsia="es-AR" w:bidi="es-AR"/>
        </w:rPr>
      </w:pPr>
      <w:r>
        <w:rPr>
          <w:lang w:val="es-AR" w:eastAsia="es-AR" w:bidi="es-AR"/>
        </w:rPr>
        <w:t xml:space="preserve">Como se ve, la situación no es sencilla, las necesidades de los niños son importantes y ha de velarse por el supremo interés, dentro de un marco de razonabilidad, habida cuenta que si lo decidido excede la prudencia y no deja margen para sobrevivir a quien debe prestar  los alimentos, tampoco podrá  hacerse efectivo el cumplimiento.-</w:t>
      </w:r>
    </w:p>
    <w:p>
      <w:pPr>
        <w:pStyle w:val="[Normal]"/>
        <w:spacing w:line="360" w:lineRule="auto"/>
        <w:ind w:firstLine="1134"/>
        <w:jc w:val="both"/>
        <w:rPr>
          <w:lang w:val="es-AR" w:eastAsia="es-AR" w:bidi="es-AR"/>
        </w:rPr>
      </w:pPr>
      <w:r>
        <w:rPr>
          <w:lang w:val="es-AR" w:eastAsia="es-AR" w:bidi="es-AR"/>
        </w:rPr>
        <w:t xml:space="preserve">Propongo al Acuerdo que se haga lugar  parcialmente al recurso de apelación del demandado, más no en una suma fija como ofrece, sino  fijándose el porcentaje del 22 % de la remuneración bruta que perciba el accionado  menos los aportes de ley, tal como describe el fallo de primera instancia en este punto.-Cfr CAP G.C c/ C.H s/ Alimentos RSD Reg. 134/2011 15/11/2011 citado en "Derecho de Familia" Editorial Sopeña,  Scaraffia, Morea, Aranda, pág. 29 .- Allí textualmente se dijo "..he de señalar que asiste razón a la quejosa en que debe considerarse como salario neto aquel que resulte de deducir de sus ingresos brutos únicamente los aportes de ley, sin considerar aquellos descuentos que correspondan a consumos del accionado -por crédito o mercaderías- o a medidas cautelares decretadas en su contra, que por tratarse de consumos previos efectuados por el accionado, son, por lo tanto ingresos percibidos con anterioridad por el mismo, debiendo  en consecuencia también ser computados como tales los correspondientes a las deducciones por los rubros  Préstamo, Proveduria, Crédito Personal, farmacia sindical..."</w:t>
      </w:r>
    </w:p>
    <w:p>
      <w:pPr>
        <w:pStyle w:val="[Normal]"/>
        <w:spacing w:line="360" w:lineRule="auto"/>
        <w:ind w:firstLine="1134"/>
        <w:jc w:val="both"/>
        <w:rPr>
          <w:lang w:val="es-AR" w:eastAsia="es-AR" w:bidi="es-AR"/>
        </w:rPr>
      </w:pPr>
      <w:r>
        <w:rPr>
          <w:lang w:val="es-AR" w:eastAsia="es-AR" w:bidi="es-AR"/>
        </w:rPr>
        <w:t xml:space="preserve">La modalidad porcentual es aconsejable  en cuanto evitará, tal como lo señala la magistrada , dispendio jurisdiccional inútil en búsqueda de continuos aumentos. Criterio que fuera adoptado en reiteradas oportunidades por este Tribunal aconsejándose la aplicación de una cuota alimentaria porcentual  sobre los ingresos (Cfr. Cap Pergamino  Reg. nro 89 de fecha 21/08/2012).- Manifestándose en esa oportunidad que "La principal ventaja de este mecanismo radica en el hecho de que provee a los sujetos de la relación alimentaria de  una pauta de actualización automática del monto de la cuota , fundada en la vinculación presunta entre la variación del importe de los gastos y la variación del importe del ingreso.-Esto evita que las partes deban tramitar sucesivos incidentes de aumento de cuota alimentaria u homologaciones de convenios modificatorios por la depreciación monetaria. Motivo por el cual su uso adquiere gran importancia en épocas inflacionarias" (Cfr obra citada, pág. 35).-</w:t>
      </w:r>
    </w:p>
    <w:p>
      <w:pPr>
        <w:pStyle w:val="[Normal]"/>
        <w:spacing w:line="360" w:lineRule="auto"/>
        <w:ind w:firstLine="1134"/>
        <w:jc w:val="both"/>
        <w:rPr>
          <w:lang w:val="es-AR" w:eastAsia="es-AR" w:bidi="es-AR"/>
        </w:rPr>
      </w:pPr>
      <w:r>
        <w:rPr>
          <w:lang w:val="es-AR" w:eastAsia="es-AR" w:bidi="es-AR"/>
        </w:rPr>
        <w:t xml:space="preserve">  Evaluadas la totalidad de las constancias, pruebas, escritos, a la luz de los dispuesto en el art. 384 del C.P.C.C. propicio que se confirme el incremento de la cuota dispuesto por la Jueza de Grado pero modificando el porcentaje de la misma y fijándolo en el 22 % de los ingresos brutos que perciba el demandado, efectuando sólo las deducciones de ley con más las asignaciones familiares correspondientes a los dos menores que reclaman.</w:t>
      </w:r>
    </w:p>
    <w:p>
      <w:pPr>
        <w:pStyle w:val="[Normal]"/>
        <w:spacing w:line="360" w:lineRule="auto"/>
        <w:ind w:firstLine="1134"/>
        <w:jc w:val="both"/>
        <w:rPr>
          <w:lang w:val="es-AR" w:eastAsia="es-AR" w:bidi="es-AR"/>
        </w:rPr>
      </w:pPr>
      <w:r>
        <w:rPr>
          <w:lang w:val="es-AR" w:eastAsia="es-AR" w:bidi="es-AR"/>
        </w:rPr>
        <w:t xml:space="preserve">Por lo expuesto en los considerandos que anteceden, citas legales de referencia y lo dispuesto por los Arts. 161, 354,375, 384, 175, y ccs. del C.P.C.C., 658 y sgtes del Código Civil y Comercial, Convención de los Derechos del Niño, art. 75 Inc. 22 C. N.</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Bernardo  Louise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w:t>
      </w:r>
      <w:r>
        <w:rPr>
          <w:color w:val="000000"/>
          <w:lang w:val="es-AR" w:eastAsia="es-AR" w:bidi="es-AR"/>
        </w:rPr>
        <w:t xml:space="preserve">Scaraffia</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el demandado, sólo en punto al quantum de la cuota alimentaria, la que desde aquí se fija en un porcentaje del 22 % sobre los haberes brutos que perciba el obligado al pago, efectuando sólo las deducciones de ley, con más las asignaciones familiares que reciba por los menores reclamantes.</w:t>
      </w:r>
    </w:p>
    <w:p>
      <w:pPr>
        <w:pStyle w:val="[Normal]"/>
        <w:spacing w:line="360" w:lineRule="auto"/>
        <w:ind w:firstLine="1134"/>
        <w:jc w:val="both"/>
        <w:rPr>
          <w:lang w:val="es-AR" w:eastAsia="es-AR" w:bidi="es-AR"/>
        </w:rPr>
      </w:pPr>
      <w:r>
        <w:rPr>
          <w:lang w:val="es-AR" w:eastAsia="es-AR" w:bidi="es-AR"/>
        </w:rPr>
        <w:t xml:space="preserve">Confirmando en todo lo demás la sentencia apelada.-</w:t>
      </w:r>
    </w:p>
    <w:p>
      <w:pPr>
        <w:pStyle w:val="[Normal]"/>
        <w:spacing w:line="360" w:lineRule="auto"/>
        <w:ind w:firstLine="1134"/>
        <w:jc w:val="both"/>
        <w:rPr>
          <w:lang w:val="es-AR" w:eastAsia="es-AR" w:bidi="es-AR"/>
        </w:rPr>
      </w:pPr>
      <w:r>
        <w:rPr>
          <w:lang w:val="es-AR" w:eastAsia="es-AR" w:bidi="es-AR"/>
        </w:rPr>
        <w:t xml:space="preserve">Imponer las costas de Alzada al alimentante, habida cuenta que la naturaleza de la obligación alimentaria así lo establece.-</w:t>
      </w:r>
    </w:p>
    <w:p>
      <w:pPr>
        <w:pStyle w:val="[Normal]"/>
        <w:spacing w:line="360" w:lineRule="auto"/>
        <w:ind w:firstLine="1134"/>
        <w:jc w:val="both"/>
        <w:rPr>
          <w:lang w:val="es-AR" w:eastAsia="es-AR" w:bidi="es-AR"/>
        </w:rPr>
      </w:pPr>
      <w:r>
        <w:rPr>
          <w:lang w:val="es-AR" w:eastAsia="es-AR" w:bidi="es-AR"/>
        </w:rPr>
        <w:t xml:space="preserve">Regular los honorarios de Alzada de la Dra. Griselda Matkovic por su trabajo como Defensora de Pobres y Ausentes en la suma equivalente a 3 jus de unidad arancelaria,  los de la Dra. Nadia Sequeiro como Asesora de Menores en la suma equivalente a 1 jus de unidad arancelaria y los de la Dra. María Fernanda Borsarelli en la suma equivalente a 2,50 jus de unidad arancelaria (art. 91 de la ley 5.827  t.o.  ley 10.571  y  Ac.  2.341/89 y sus modif. SCBA; arts. 16, 24 y 31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y Bernardo Louise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el demandado, sólo en punto al quantum de la cuota alimentaria, la que desde aquí se fija en un porcentaje del 22 % sobre los haberes brutos que perciba el obligado al pago, efectuando sólo las deducciones de ley, con más las asignaciones familiares que reciba por los menores reclamantes. Confirmar en todo lo demás la sentencia apelada.</w:t>
      </w:r>
    </w:p>
    <w:p>
      <w:pPr>
        <w:pStyle w:val="[Normal]"/>
        <w:spacing w:line="360" w:lineRule="auto"/>
        <w:ind w:firstLine="1134"/>
        <w:jc w:val="both"/>
        <w:rPr>
          <w:lang w:val="es-AR" w:eastAsia="es-AR" w:bidi="es-AR"/>
        </w:rPr>
      </w:pPr>
      <w:r>
        <w:rPr>
          <w:lang w:val="es-AR" w:eastAsia="es-AR" w:bidi="es-AR"/>
        </w:rPr>
        <w:t xml:space="preserve">Imponer las costas de Alzada al alimentante, habida cuenta que la naturaleza de la obligación alimentaria así lo establece.-</w:t>
      </w:r>
    </w:p>
    <w:p>
      <w:pPr>
        <w:pStyle w:val="[Normal]"/>
        <w:spacing w:line="360" w:lineRule="auto"/>
        <w:ind w:firstLine="1134"/>
        <w:jc w:val="both"/>
        <w:rPr>
          <w:lang w:val="es-AR" w:eastAsia="es-AR" w:bidi="es-AR"/>
        </w:rPr>
      </w:pPr>
      <w:r>
        <w:rPr>
          <w:lang w:val="es-AR" w:eastAsia="es-AR" w:bidi="es-AR"/>
        </w:rPr>
        <w:t xml:space="preserve">Regular los honorarios de Alzada de la Dra. Griselda Matkovic por su trabajo como Defensora de Pobres y Ausentes en la suma equivalente a 3 jus de unidad arancelaria,  los de la Dra. Nadia Sequeiro como Asesora de Menores en la suma equivalente a 1 jus de unidad arancelaria y los de la Dra. María Fernanda Borsarelli en la suma equivalente a 2,50 jus de unidad arancelaria (art. 91 de la ley 5.827  t.o.  ley 10.571  y  Ac.  2.341/89 y sus modif. SCBA; arts. 16, 24 y 31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27293742842@NOTIFICACIONES.SCBA.GOV.AR</w:t>
      </w:r>
    </w:p>
    <w:p>
      <w:pPr>
        <w:pStyle w:val="[Normal]"/>
        <w:rPr>
          <w:color w:val="000000"/>
          <w:lang w:val="es-AR" w:eastAsia="es-AR" w:bidi="es-AR"/>
        </w:rPr>
      </w:pPr>
      <w:r>
        <w:rPr>
          <w:color w:val="000000"/>
          <w:lang w:val="es-AR" w:eastAsia="es-AR" w:bidi="es-AR"/>
        </w:rPr>
        <w:t xml:space="preserve">27268201179@NOTIFICACIONES.SCBA.GOV.AR</w:t>
      </w:r>
    </w:p>
    <w:p>
      <w:pPr>
        <w:pStyle w:val="[Normal]"/>
        <w:rPr>
          <w:color w:val="000000"/>
          <w:lang w:val="es-AR" w:eastAsia="es-AR" w:bidi="es-AR"/>
        </w:rPr>
      </w:pPr>
      <w:r>
        <w:rPr>
          <w:color w:val="000000"/>
          <w:lang w:val="es-AR" w:eastAsia="es-AR" w:bidi="es-AR"/>
        </w:rPr>
        <w:t xml:space="preserve">27321488787@NOTIFICACIONES.SCBA.GOV.AR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10:03:11 -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10:06:10 -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10:07:57 -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27/05/2021 11:27:52 -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27268201179@NOTIFICACIONES.SCBA.GOV.AR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27293742842@NOTIFICACIONES.SCBA.GOV.AR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27321488787@NOTIFICACIONES.SCBA.GOV.AR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‰7*")è%2`+&gt;Š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231002090005186411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061"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4252 - 21 - OCHOA, MARIA JOSE C/ ERRASTI, CESAR GERMAN S/ INCIDENTE DE ALIMENTOS</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‰7*")è%2`+&gt;Š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231002090005186411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200" w:line="276"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