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b/>
          <w:lang w:val="es-AR" w:eastAsia="es-AR" w:bidi="es-AR"/>
        </w:rPr>
        <w:t xml:space="preserve">Registro N° 80 /</w:t>
      </w:r>
      <w:r>
        <w:rPr>
          <w:b/>
          <w:color w:val="000000"/>
          <w:lang w:val="es-AR" w:eastAsia="es-AR" w:bidi="es-AR"/>
        </w:rPr>
        <w:t xml:space="preserve">2021</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Folio 447/452</w:t>
      </w: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i/>
          <w:color w:val="000000"/>
          <w:lang w:val="es-AR" w:eastAsia="es-AR" w:bidi="es-AR"/>
        </w:rPr>
        <w:t xml:space="preserve">4037-20</w:t>
      </w:r>
      <w:r>
        <w:rPr>
          <w:lang w:val="es-AR" w:eastAsia="es-AR" w:bidi="es-AR"/>
        </w:rPr>
        <w:t xml:space="preserve"> caratulados </w:t>
      </w:r>
      <w:r>
        <w:rPr>
          <w:b/>
          <w:i/>
          <w:lang w:val="es-AR" w:eastAsia="es-AR" w:bidi="es-AR"/>
        </w:rPr>
        <w:t xml:space="preserve">"</w:t>
      </w:r>
      <w:r>
        <w:rPr>
          <w:b/>
          <w:i/>
          <w:color w:val="000000"/>
          <w:lang w:val="es-AR" w:eastAsia="es-AR" w:bidi="es-AR"/>
        </w:rPr>
        <w:t xml:space="preserve">CEPEDA OMAR ALBERTO C/ GOUK MIGUEL ANGEL Y OTROS  S/ DAÑOS Y PERJ.AUTOM. C/LES. O MUERTE (EXC.ESTADO)</w:t>
      </w:r>
      <w:r>
        <w:rPr>
          <w:b/>
          <w:i/>
          <w:lang w:val="es-AR" w:eastAsia="es-AR" w:bidi="es-AR"/>
        </w:rPr>
        <w:t xml:space="preserve">"</w:t>
      </w:r>
      <w:r>
        <w:rPr>
          <w:b/>
          <w:lang w:val="es-AR" w:eastAsia="es-AR" w:bidi="es-AR"/>
        </w:rPr>
        <w:t xml:space="preserve">,</w:t>
      </w:r>
      <w:r>
        <w:rPr>
          <w:lang w:val="es-AR" w:eastAsia="es-AR" w:bidi="es-AR"/>
        </w:rPr>
        <w:t xml:space="preserve"> Expte. N° </w:t>
      </w:r>
      <w:r>
        <w:rPr>
          <w:color w:val="000000"/>
          <w:lang w:val="es-AR" w:eastAsia="es-AR" w:bidi="es-AR"/>
        </w:rPr>
        <w:t xml:space="preserve">-80261-</w:t>
      </w:r>
      <w:r>
        <w:rPr>
          <w:lang w:val="es-AR" w:eastAsia="es-AR" w:bidi="es-AR"/>
        </w:rPr>
        <w:t xml:space="preserve"> del </w:t>
      </w:r>
      <w:r>
        <w:rPr>
          <w:color w:val="000000"/>
          <w:lang w:val="es-AR" w:eastAsia="es-AR" w:bidi="es-AR"/>
        </w:rPr>
        <w:t xml:space="preserve">Juzgado en lo Civil y Comercial N°  </w:t>
      </w:r>
      <w:r>
        <w:rPr>
          <w:lang w:val="es-AR" w:eastAsia="es-AR" w:bidi="es-AR"/>
        </w:rPr>
        <w:t xml:space="preserve">Departamental, encontrándose el Dr. Bernardo Louise excusado en fecha </w:t>
      </w:r>
      <w:r>
        <w:rPr>
          <w:color w:val="000000"/>
          <w:lang w:val="es-AR" w:eastAsia="es-AR" w:bidi="es-AR"/>
        </w:rPr>
        <w:t xml:space="preserve">31/08/2020</w:t>
      </w:r>
      <w:r>
        <w:rPr>
          <w:lang w:val="es-AR" w:eastAsia="es-AR" w:bidi="es-AR"/>
        </w:rPr>
        <w:t xml:space="preserve">, se ordenó la integración de este Tribunal y se practicó el sorteo de ley que determinó que la votación debía efectuarse en el siguiente orden: Graciela Scaraffia y Roberto Degleue, estudiados los autos se resolvió plantear y votar las siguientes: </w:t>
      </w:r>
    </w:p>
    <w:p>
      <w:pPr>
        <w:pStyle w:val="[Normal]"/>
        <w:spacing w:line="360" w:lineRule="auto"/>
        <w:ind w:firstLine="1134"/>
        <w:jc w:val="both"/>
        <w:rPr>
          <w:color w:val="000000"/>
          <w:lang w:val="es-AR" w:eastAsia="es-AR" w:bidi="es-AR"/>
        </w:rPr>
      </w:pPr>
      <w:r>
        <w:rPr>
          <w:color w:val="000000"/>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color w:val="000000"/>
          <w:lang w:val="es-AR" w:eastAsia="es-AR" w:bidi="es-AR"/>
        </w:rPr>
        <w:t xml:space="preserve">El Sr. Juez de la anterior instancia rechazó la demanda entablada por el Sr. Omar Alberto Fernandez. Con costas por resultar perdidoso ( art. 68 CPC.).  Tomando como base arancelaria el reclamo de autos de </w:t>
      </w:r>
      <w:r>
        <w:rPr>
          <w:b/>
          <w:color w:val="000000"/>
          <w:lang w:val="es-AR" w:eastAsia="es-AR" w:bidi="es-AR"/>
        </w:rPr>
        <w:t xml:space="preserve">$ 1.765.000</w:t>
      </w:r>
      <w:r>
        <w:rPr>
          <w:color w:val="000000"/>
          <w:lang w:val="es-AR" w:eastAsia="es-AR" w:bidi="es-AR"/>
        </w:rPr>
        <w:t xml:space="preserve">, reguló los honorarios de los letrados intervinientes ( equivalente a la mitad del 20% ) Dres. Luis Ernesto Cantore y Martín N. Santinelli, en las sumas de $ 140.000 y en la de $  175.000 ( arts. 14 / 16, 21, 23 y ccs. de la Ley 8904 ). Y, por  la otra  mitad, es decir por  los trabajos realizados con posterioridad al 21 / 10 / 2017 nueva Ley de Honorarios,  resolvió que habrá que liquidarse conforme nuevo art. 23 de la L.H..  En la aclaratoria de fecha 30/08/2019 integrativa de la sentencia de grado se deja constancia que el nombre del actor es Omar Alberto Cepeda y no Fernandez como fuera erróneamente consignado.-</w:t>
      </w:r>
    </w:p>
    <w:p>
      <w:pPr>
        <w:pStyle w:val="[Normal]"/>
        <w:spacing w:line="360" w:lineRule="auto"/>
        <w:ind w:firstLine="1134"/>
        <w:jc w:val="both"/>
        <w:rPr>
          <w:color w:val="000000"/>
          <w:lang w:val="es-AR" w:eastAsia="es-AR" w:bidi="es-AR"/>
        </w:rPr>
      </w:pPr>
      <w:r>
        <w:rPr>
          <w:color w:val="000000"/>
          <w:lang w:val="es-AR" w:eastAsia="es-AR" w:bidi="es-AR"/>
        </w:rPr>
        <w:t xml:space="preserve">Tal decisorio fue objeto del recurso de apelación interpuesto por la parte  actora el 26/09/2019, concedido libremente y con efecto suspensivo el 30/09/2019.  Con fecha 04/05/2021 se ordenó expresar agravios al accionante quien los funda el 13/05/2021 y del mismo se dio traslado a la contraparte el 20/08/2021.  El 27/05/2021 es evacuado el traslado conferido por la demandada y citada en garantía.  Con fecha 01/09/2021 luce llamamiento de autos, providencia, que firme a la fecha deja la causa en condiciones de ser fallada.-</w:t>
      </w:r>
    </w:p>
    <w:p>
      <w:pPr>
        <w:pStyle w:val="[Normal]"/>
        <w:spacing w:line="360" w:lineRule="auto"/>
        <w:ind w:firstLine="1134"/>
        <w:jc w:val="both"/>
        <w:rPr>
          <w:color w:val="000000"/>
          <w:lang w:val="es-AR" w:eastAsia="es-AR" w:bidi="es-AR"/>
        </w:rPr>
      </w:pPr>
      <w:r>
        <w:rPr>
          <w:color w:val="000000"/>
          <w:lang w:val="es-AR" w:eastAsia="es-AR" w:bidi="es-AR"/>
        </w:rPr>
        <w:t xml:space="preserve">Se duele el apelante contra el decisorio que desestima la demanda, motivando la queja sobre distintos puntos, desarrollados en su escrito electrónico, los que sintéticamente versan sobre: a) el descarte de la IPP decidido por el operador teniendo en cuenta el archivo dictado, b) la afirmación de que el automotor del demandado nunca perdió la prioridad de paso, señalándose que en la causa penal hay dos pruebas periciales y en ninguna se pudo determinar quien ingresó primero a la encrucijada y tampoco cual fue el lugar del impacto c) la valoración del croquis de fs. 23 de la causa penal de donde surge la proyección de la línea de arrastre y otras afirmaciones transcriptas en el punto c) del quejoso d) la valoración de los testimonios de fs. 131/133 e) la aplicación de las normas de tránsito.  Sobre estos puntos el quejoso se explaya en hipótesis que lo llevarían a concluir en forma distinta a la sentencia, en tanto sostiene que se puede determinar quien ingresó primero a la encrucijada y también el lugar del impacto.-</w:t>
      </w:r>
    </w:p>
    <w:p>
      <w:pPr>
        <w:pStyle w:val="[Normal]"/>
        <w:spacing w:line="360" w:lineRule="auto"/>
        <w:ind w:firstLine="1134"/>
        <w:jc w:val="both"/>
        <w:rPr>
          <w:color w:val="000000"/>
          <w:lang w:val="es-AR" w:eastAsia="es-AR" w:bidi="es-AR"/>
        </w:rPr>
      </w:pPr>
      <w:r>
        <w:rPr>
          <w:color w:val="000000"/>
          <w:lang w:val="es-AR" w:eastAsia="es-AR" w:bidi="es-AR"/>
        </w:rPr>
        <w:t xml:space="preserve">A su turno el apoderado del accionado y citada en garantía aduce expresamente la insuficiencia de la expresión de agravios, solicitando la deserción del recurso conforme el art. 261 del CPCC y su doctrina.-</w:t>
      </w:r>
    </w:p>
    <w:p>
      <w:pPr>
        <w:pStyle w:val="[Normal]"/>
        <w:spacing w:line="360" w:lineRule="auto"/>
        <w:ind w:firstLine="1134"/>
        <w:jc w:val="both"/>
        <w:rPr>
          <w:color w:val="000000"/>
          <w:lang w:val="es-AR" w:eastAsia="es-AR" w:bidi="es-AR"/>
        </w:rPr>
      </w:pPr>
      <w:r>
        <w:rPr>
          <w:color w:val="000000"/>
          <w:lang w:val="es-AR" w:eastAsia="es-AR" w:bidi="es-AR"/>
        </w:rPr>
        <w:t xml:space="preserve">Subsidiariamente evacua el traslado y dice que la sentencia es correcta en cuanto recoge la prioridad de paso que le correspondía al accionado apuntando que la queja es una réplica de lo expuesto en la demanda y que no se condice con el plexo probatorio, señalando tal como lo recogiera el sentenciante que el accionado nunca perdió la prioridad de paso (art. 41 Ley de Tránsito).  Consecuente con eso dice que el actor tal como se interpretó al circular por la izquierda debería haber frenado y observar que nadie circulara por la derecha para recién avanzar.-</w:t>
      </w:r>
    </w:p>
    <w:p>
      <w:pPr>
        <w:pStyle w:val="[Normal]"/>
        <w:spacing w:line="360" w:lineRule="auto"/>
        <w:ind w:firstLine="1134"/>
        <w:jc w:val="both"/>
        <w:rPr>
          <w:color w:val="000000"/>
          <w:lang w:val="es-AR" w:eastAsia="es-AR" w:bidi="es-AR"/>
        </w:rPr>
      </w:pPr>
      <w:r>
        <w:rPr>
          <w:color w:val="000000"/>
          <w:lang w:val="es-AR" w:eastAsia="es-AR" w:bidi="es-AR"/>
        </w:rPr>
        <w:t xml:space="preserve">Replica la pericia que considera contundente y señala que la búsqueda de endilgar exceso de velocidad en el cruce no se ha demostrado en tanto quedó probado la velocidad de circulación.  Pide la confirmación de lo decidido.-</w:t>
      </w:r>
    </w:p>
    <w:p>
      <w:pPr>
        <w:pStyle w:val="[Normal]"/>
        <w:spacing w:line="360" w:lineRule="auto"/>
        <w:ind w:firstLine="1134"/>
        <w:jc w:val="both"/>
        <w:rPr>
          <w:color w:val="000000"/>
          <w:lang w:val="es-AR" w:eastAsia="es-AR" w:bidi="es-AR"/>
        </w:rPr>
      </w:pPr>
      <w:r>
        <w:rPr>
          <w:color w:val="000000"/>
          <w:lang w:val="es-AR" w:eastAsia="es-AR" w:bidi="es-AR"/>
        </w:rPr>
        <w:t xml:space="preserve">Entrando a resolver la plataforma fáctica acreditada da cuenta de la existencia de un siniestro producido el día 30 de noviembre de 2015 aproximadamente a las 15.10 hs entre un ciclomotor marca Zanella conducido en el evento por Omar Alberto Cepeda quien circulaba por calle Cto Patrone con sentido Sur-Norte y por el otro un vehículo marca Chevrolet al comando de Miguel Angel Gouk, quien transitaba por calle San Lorenzo hacia el Este.  Evento que diera origen a la pretensión de daños aquí deducida, otrora rechazada por el juez de grado.-</w:t>
      </w:r>
    </w:p>
    <w:p>
      <w:pPr>
        <w:pStyle w:val="[Normal]"/>
        <w:spacing w:line="360" w:lineRule="auto"/>
        <w:ind w:firstLine="1134"/>
        <w:jc w:val="both"/>
        <w:rPr>
          <w:color w:val="000000"/>
          <w:lang w:val="es-AR" w:eastAsia="es-AR" w:bidi="es-AR"/>
        </w:rPr>
      </w:pPr>
      <w:r>
        <w:rPr>
          <w:color w:val="000000"/>
          <w:lang w:val="es-AR" w:eastAsia="es-AR" w:bidi="es-AR"/>
        </w:rPr>
        <w:t xml:space="preserve">No está en discusión que en la especie se trata de un accidente de locomotores, por lo que ha de regir la doctrina de la responsabilidad por el riesgo creado, regulado por el art. 1113 del Cód. Civil, segundo apartado, por lo que la atribución de responsabilidad es objetiva.  Los automotores (debiendo incluirse aquí también los ciclomotores) en movimiento son considerados productores de riesgo, resultando de aplicación la teoría del riesgo creado, en virtud de la misma, cada dueño o guardián debe resarcir los daños causados a otro, salvo que acredite la concurrencia de las excepciones legalmente previstas que permitan eximirlo total o parcialmente, esto es que la culpa de la víctima o de un tercero por el que no deba responder, haya interrumpido total o parcialmente el nexo de causalidad entre el hecho de la cosa riesgosa y el daño (art. 1113 in fine del Cód. Civil).  Se trata de aplicar la teoría del riesgo creado, a partir de la concurrencia de dos vehículos en movimiento con riesgos recíprocos, de tal modo que si bien se presume la culpa de cada uno respecto de los daños del otro, conjuntamente puede analizarse si el hecho de la víctima fue la causa adecuada del accidente y si esto fue acreditado por la contraria, adelantando desde ya la respuesta afirmativa.-</w:t>
      </w:r>
    </w:p>
    <w:p>
      <w:pPr>
        <w:pStyle w:val="[Normal]"/>
        <w:spacing w:line="360" w:lineRule="auto"/>
        <w:ind w:firstLine="1134"/>
        <w:jc w:val="both"/>
        <w:rPr>
          <w:color w:val="000000"/>
          <w:lang w:val="es-AR" w:eastAsia="es-AR" w:bidi="es-AR"/>
        </w:rPr>
      </w:pPr>
      <w:r>
        <w:rPr>
          <w:color w:val="000000"/>
          <w:lang w:val="es-AR" w:eastAsia="es-AR" w:bidi="es-AR"/>
        </w:rPr>
        <w:t xml:space="preserve">Este esquema conceptual se replica en el nuevo Código Civil y Comercial Unificado donde expresamente se alude a la responsabilidad objetiva (art. 1723 CCCN), relación causal, (art. 1726 CCCN), prueba de los factores (art. 1734 /1736 del CCCN), y los demás conceptos normativos desplegados en el Título V, Sección Tercera, todos ellos aquí aplicable teniendo en cuenta la fecha de producción del hecho.-</w:t>
      </w:r>
    </w:p>
    <w:p>
      <w:pPr>
        <w:pStyle w:val="[Normal]"/>
        <w:spacing w:line="360" w:lineRule="auto"/>
        <w:ind w:firstLine="1134"/>
        <w:jc w:val="both"/>
        <w:rPr>
          <w:color w:val="000000"/>
          <w:lang w:val="es-AR" w:eastAsia="es-AR" w:bidi="es-AR"/>
        </w:rPr>
      </w:pPr>
      <w:r>
        <w:rPr>
          <w:color w:val="000000"/>
          <w:lang w:val="es-AR" w:eastAsia="es-AR" w:bidi="es-AR"/>
        </w:rPr>
        <w:t xml:space="preserve">Para decidir he de partir de la premisa sostenida por este Tribunal en numerosos precedentes, siguiendo la doctrina legal de la Suprema Corte Provincial, que indica que</w:t>
      </w:r>
      <w:r>
        <w:rPr>
          <w:b/>
          <w:color w:val="000000"/>
          <w:lang w:val="es-AR" w:eastAsia="es-AR" w:bidi="es-AR"/>
        </w:rPr>
        <w:t xml:space="preserve">: </w:t>
      </w:r>
      <w:r>
        <w:rPr>
          <w:color w:val="000000"/>
          <w:lang w:val="es-AR" w:eastAsia="es-AR" w:bidi="es-AR"/>
        </w:rPr>
        <w:t xml:space="preserve">para apartarse de la regla de la prioridad de paso que goza el que viene circulando  por la derecha, deberán acreditarse circunstancias objetivas que permitan excepcionarla en forma total o parcial, señalando desde ya que ello no ha sido alcanzado por el apelante.-</w:t>
      </w:r>
    </w:p>
    <w:p>
      <w:pPr>
        <w:pStyle w:val="[Normal]"/>
        <w:spacing w:line="360" w:lineRule="auto"/>
        <w:ind w:firstLine="1134"/>
        <w:jc w:val="both"/>
        <w:rPr>
          <w:color w:val="000000"/>
          <w:lang w:val="es-AR" w:eastAsia="es-AR" w:bidi="es-AR"/>
        </w:rPr>
      </w:pPr>
      <w:r>
        <w:rPr>
          <w:color w:val="000000"/>
          <w:lang w:val="es-AR" w:eastAsia="es-AR" w:bidi="es-AR"/>
        </w:rPr>
        <w:t xml:space="preserve">El archivo dictado en sede penal no impide la revisión crítica de la judicatura civil con las reglas propias de este fuero.-</w:t>
      </w:r>
    </w:p>
    <w:p>
      <w:pPr>
        <w:pStyle w:val="[Normal]"/>
        <w:spacing w:line="360" w:lineRule="auto"/>
        <w:ind w:firstLine="1134"/>
        <w:jc w:val="both"/>
        <w:rPr>
          <w:color w:val="000000"/>
          <w:lang w:val="es-AR" w:eastAsia="es-AR" w:bidi="es-AR"/>
        </w:rPr>
      </w:pPr>
      <w:r>
        <w:rPr>
          <w:color w:val="000000"/>
          <w:lang w:val="es-AR" w:eastAsia="es-AR" w:bidi="es-AR"/>
        </w:rPr>
        <w:t xml:space="preserve">La Investigación Penal Preparatoria de la UFI N° 6, 12-00-008129-15 devenida en prueba común a las partes ilustra sobre la acaecencia del hecho al momento más próximo del mismo: Acta de procedimiento.(fs. 1), (fs. 6) Fotocopias blanco y negro de fotografías de motocicleta, (fs. 8), Constatación de daños, automóvil Chevrolet (fs. 23), Planimetría (fs. 24 y 25), Fotocopias blanco y negro de fotografías (fs. 56 a 63), Informe Preliminar Policía Científica, fs. 93 – Impugnación pericia fs. 103 – Informe pericial – Ing. Eduardo H. Murphy.C2 80.261 (fs. 10), Fotocopia de planimetría.-</w:t>
      </w:r>
    </w:p>
    <w:p>
      <w:pPr>
        <w:pStyle w:val="[Normal]"/>
        <w:spacing w:line="360" w:lineRule="auto"/>
        <w:ind w:firstLine="1134"/>
        <w:jc w:val="both"/>
        <w:rPr>
          <w:color w:val="000000"/>
          <w:lang w:val="es-AR" w:eastAsia="es-AR" w:bidi="es-AR"/>
        </w:rPr>
      </w:pPr>
      <w:r>
        <w:rPr>
          <w:color w:val="000000"/>
          <w:lang w:val="es-AR" w:eastAsia="es-AR" w:bidi="es-AR"/>
        </w:rPr>
        <w:t xml:space="preserve">Todos estos elementos tomados por la experticia practicada por el Perito Ingeniero Mecánico Thelmo Ferretti que fuera producida en estos actuados y que ratifica también la realizada por el Perito Oficial Murphy en aquel fuero.-</w:t>
      </w:r>
    </w:p>
    <w:p>
      <w:pPr>
        <w:pStyle w:val="[Normal]"/>
        <w:spacing w:line="360" w:lineRule="auto"/>
        <w:ind w:firstLine="1134"/>
        <w:jc w:val="both"/>
        <w:rPr>
          <w:color w:val="000000"/>
          <w:lang w:val="es-AR" w:eastAsia="es-AR" w:bidi="es-AR"/>
        </w:rPr>
      </w:pPr>
      <w:r>
        <w:rPr>
          <w:color w:val="000000"/>
          <w:lang w:val="es-AR" w:eastAsia="es-AR" w:bidi="es-AR"/>
        </w:rPr>
        <w:t xml:space="preserve">Sobre el lugar del impacto en forma contundente el experto Ferretti señala que "  Es razonable considerar que los daños sobre el sector trasero derecho de la motocicleta que se observan y se resaltan en IPP fs. 59 vta., resultaron como consecuencia del siniestro en cuestión".-</w:t>
      </w:r>
    </w:p>
    <w:p>
      <w:pPr>
        <w:pStyle w:val="[Normal]"/>
        <w:spacing w:line="360" w:lineRule="auto"/>
        <w:ind w:firstLine="1134"/>
        <w:jc w:val="both"/>
        <w:rPr>
          <w:color w:val="000000"/>
          <w:lang w:val="es-AR" w:eastAsia="es-AR" w:bidi="es-AR"/>
        </w:rPr>
      </w:pPr>
      <w:r>
        <w:rPr>
          <w:color w:val="000000"/>
          <w:lang w:val="es-AR" w:eastAsia="es-AR" w:bidi="es-AR"/>
        </w:rPr>
        <w:t xml:space="preserve">Y sobre el vehículo del demandado dijo " El sector frontal medio del automóvil Chevrolet impactó con el sector lateral medio – trasero de la motocicleta Zanella".-</w:t>
      </w:r>
    </w:p>
    <w:p>
      <w:pPr>
        <w:pStyle w:val="[Normal]"/>
        <w:spacing w:line="360" w:lineRule="auto"/>
        <w:ind w:firstLine="1134"/>
        <w:jc w:val="both"/>
        <w:rPr>
          <w:color w:val="000000"/>
          <w:lang w:val="es-AR" w:eastAsia="es-AR" w:bidi="es-AR"/>
        </w:rPr>
      </w:pPr>
      <w:r>
        <w:rPr>
          <w:color w:val="000000"/>
          <w:lang w:val="es-AR" w:eastAsia="es-AR" w:bidi="es-AR"/>
        </w:rPr>
        <w:t xml:space="preserve">"El raspón de proyección de la motocicleta Zanella post impacto descripto en IPP fs. 23 como “Huella” describe el deslizamiento de la misma con su lateral derecho sobre el asfalto hasta detenerse en su posición final".-</w:t>
      </w:r>
    </w:p>
    <w:p>
      <w:pPr>
        <w:pStyle w:val="[Normal]"/>
        <w:spacing w:line="360" w:lineRule="auto"/>
        <w:ind w:firstLine="1134"/>
        <w:jc w:val="both"/>
        <w:rPr>
          <w:color w:val="000000"/>
          <w:lang w:val="es-AR" w:eastAsia="es-AR" w:bidi="es-AR"/>
        </w:rPr>
      </w:pPr>
      <w:r>
        <w:rPr>
          <w:color w:val="000000"/>
          <w:lang w:val="es-AR" w:eastAsia="es-AR" w:bidi="es-AR"/>
        </w:rPr>
        <w:t xml:space="preserve">Las conclusiones del dictamen pericial, que ratifica el realizado por el Perito Oficial Murphy a fs. 103 de la causa penal, y que tiene en cuenta elementos probatorios agregados a la Investigación Penal Preparatoria, despejan toda duda y así fue valorada por el operador de grado.-</w:t>
      </w:r>
    </w:p>
    <w:p>
      <w:pPr>
        <w:pStyle w:val="[Normal]"/>
        <w:spacing w:line="360" w:lineRule="auto"/>
        <w:ind w:firstLine="1134"/>
        <w:jc w:val="both"/>
        <w:rPr>
          <w:color w:val="000000"/>
          <w:lang w:val="es-AR" w:eastAsia="es-AR" w:bidi="es-AR"/>
        </w:rPr>
      </w:pPr>
      <w:r>
        <w:rPr>
          <w:color w:val="000000"/>
          <w:lang w:val="es-AR" w:eastAsia="es-AR" w:bidi="es-AR"/>
        </w:rPr>
        <w:t xml:space="preserve">Respecto del giro de circunstancia que pretende el quejoso, la experticia indica que "En el croquis de fs. 49 se indica un raspón de proyección de la moto de 5,6 m. en la dirección que debió llevar el auto Chevrolet Aveo.  Luego por la posición en que se lo advierte en el croquis de fs. 234 el mismo fue estacionado en otro lugar, en este caso sobre la ochava".  Las hipótesis distinta  del hecho sostenida por el actor fueron neutralizados por la prueba rendida y bien recogidas por el juez de grado, de tal modo que la insistencia sobre otra mecánica solo es aspiracional y no se ve corroborada por elemento alguno.-</w:t>
      </w:r>
    </w:p>
    <w:p>
      <w:pPr>
        <w:pStyle w:val="[Normal]"/>
        <w:spacing w:line="360" w:lineRule="auto"/>
        <w:ind w:firstLine="1134"/>
        <w:jc w:val="both"/>
        <w:rPr>
          <w:color w:val="000000"/>
          <w:lang w:val="es-AR" w:eastAsia="es-AR" w:bidi="es-AR"/>
        </w:rPr>
      </w:pPr>
      <w:r>
        <w:rPr>
          <w:color w:val="000000"/>
          <w:lang w:val="es-AR" w:eastAsia="es-AR" w:bidi="es-AR"/>
        </w:rPr>
        <w:t xml:space="preserve">Maguer el esfuerzo realizado por el doliente, quien intenta explicar otro punto de impacto así como una mecánica diferente basado en una maniobra de giro del demandado, no puedo apartarme de las conclusiones periciales apoyadas en elementos técnicos científicos, que otorgan eficacia probatoria (art. 474 del CPCC y su doctrina), y que atínadamente ha evaluado el operador conforme las reglas del art. 384/386 del CPCC y su doctrina.-</w:t>
      </w:r>
    </w:p>
    <w:p>
      <w:pPr>
        <w:pStyle w:val="[Normal]"/>
        <w:spacing w:line="360" w:lineRule="auto"/>
        <w:ind w:firstLine="1134"/>
        <w:jc w:val="both"/>
        <w:rPr>
          <w:color w:val="000000"/>
          <w:lang w:val="es-AR" w:eastAsia="es-AR" w:bidi="es-AR"/>
        </w:rPr>
      </w:pPr>
      <w:r>
        <w:rPr>
          <w:color w:val="000000"/>
          <w:lang w:val="es-AR" w:eastAsia="es-AR" w:bidi="es-AR"/>
        </w:rPr>
        <w:t xml:space="preserve">El informe técnico de fs. 56/62 producido con cierta inmediación al siniestro, indica respecto del punto de impacto (controvertido por el quejoso) que "Bajo los parámetro cinemáticos que ostentaban las unidades protagonista, sobre el entorno espacial inmediato al centro del ámbito de la encrucijada, La unidad Chevrolet de manera frontal toma contacto e interactúa sobre el lateral derecho de la Unidad Zanella" describiendo en el punto e) "Como producto de la colisión, la Unidad Zanella constituida como el móvil de menor masa, entra en pérdida de establidad y dominio direccional, proyectándose con su lateral izquierdo hasta la calzada, sobre la cual se desliza, a lo largo de 6 metros aproximadamente, para alcanzar en reposo su correspondiente posición final tal como lo muestra el relevamiento planimétrico y se ilustra mediante las fotografías".-</w:t>
      </w:r>
    </w:p>
    <w:p>
      <w:pPr>
        <w:pStyle w:val="[Normal]"/>
        <w:spacing w:line="360" w:lineRule="auto"/>
        <w:ind w:firstLine="1134"/>
        <w:jc w:val="both"/>
        <w:rPr>
          <w:color w:val="000000"/>
          <w:lang w:val="es-AR" w:eastAsia="es-AR" w:bidi="es-AR"/>
        </w:rPr>
      </w:pPr>
      <w:r>
        <w:rPr>
          <w:color w:val="000000"/>
          <w:lang w:val="es-AR" w:eastAsia="es-AR" w:bidi="es-AR"/>
        </w:rPr>
        <w:t xml:space="preserve">"La unidad Chevrolet sin recibir daños que de alguna manera limiten su desplazamiento, de manera controlada y segura maniobra hasta alcanzar en reposo la posición y disposición bajo la cual fuera relevada..."</w:t>
      </w:r>
    </w:p>
    <w:p>
      <w:pPr>
        <w:pStyle w:val="[Normal]"/>
        <w:spacing w:line="360" w:lineRule="auto"/>
        <w:ind w:firstLine="1134"/>
        <w:jc w:val="both"/>
        <w:rPr>
          <w:color w:val="000000"/>
          <w:lang w:val="es-AR" w:eastAsia="es-AR" w:bidi="es-AR"/>
        </w:rPr>
      </w:pPr>
      <w:r>
        <w:rPr>
          <w:color w:val="000000"/>
          <w:lang w:val="es-AR" w:eastAsia="es-AR" w:bidi="es-AR"/>
        </w:rPr>
        <w:t xml:space="preserve">Este informe técnico fue ratificado por los pericias oficiales de los Peritos Ingenieros Mecánicos obrante tanto en la causa penal como civil, de tal modo que la versión y conjetura con la que insiste machaconamente el quejoso no encuentra apoyatura probatoria posible, para disminuír o alterar su responsabilidad en el evento.-</w:t>
      </w:r>
    </w:p>
    <w:p>
      <w:pPr>
        <w:pStyle w:val="[Normal]"/>
        <w:spacing w:line="360" w:lineRule="auto"/>
        <w:ind w:firstLine="1134"/>
        <w:jc w:val="both"/>
        <w:rPr>
          <w:color w:val="000000"/>
          <w:lang w:val="es-AR" w:eastAsia="es-AR" w:bidi="es-AR"/>
        </w:rPr>
      </w:pPr>
      <w:r>
        <w:rPr>
          <w:color w:val="000000"/>
          <w:lang w:val="es-AR" w:eastAsia="es-AR" w:bidi="es-AR"/>
        </w:rPr>
        <w:t xml:space="preserve">Las probanzas rendidas indican que el demandado venía circulando por su derecha y al respecto debo señalar que la preferencia de paso del conductor que arriba por la derecha de la encrucijada, si bien no funciona en el vacío, constituye una regla fundamental y también de carácter objetivo, en orden a analizar y decidir la responsabilidad que corresponde en una colisión entre automotores, conforme la normativa señalada. "  Es que se trata, no solo de un principio de seguridad en el tránsito, sino de una regla de convivencia social establecida por el legislador.  Además, las normas de tránsito no son puras declaraciones académicas o requisitos para aprobar un examen habilitante, sino que están dadas para ser cumplidas, por lo que corresponde considerarlas en el plexo de circunstancias atinentes, en oportunidad de decidir la responsabilidad".  (CCI Art. 13 CC0201LP, B 79926, RSD 96-95, S, 2-5-1995, Juez CRESPI (SD) CARATULA Maiztegui, Miguel Angel c/Benvenuto Julio César y otro s/Daños y Perjuicios MAG Votantes Crespi-Sosa).-</w:t>
      </w:r>
    </w:p>
    <w:p>
      <w:pPr>
        <w:pStyle w:val="[Normal]"/>
        <w:spacing w:line="360" w:lineRule="auto"/>
        <w:ind w:firstLine="1134"/>
        <w:jc w:val="both"/>
        <w:rPr>
          <w:color w:val="000000"/>
          <w:lang w:val="es-AR" w:eastAsia="es-AR" w:bidi="es-AR"/>
        </w:rPr>
      </w:pPr>
      <w:r>
        <w:rPr>
          <w:color w:val="000000"/>
          <w:lang w:val="es-AR" w:eastAsia="es-AR" w:bidi="es-AR"/>
        </w:rPr>
        <w:t xml:space="preserve">De tal manera "Quien pretende soslayar la regla que obliga a ceder el paso del vehículo que se presenta por la derecha, debe aportar concluyentes pruebas en apoyo de su tesis, pues se trata de nada menos que de invalidar la aplicación de una norma positiva.  Y esto es así, porque el conductor que tiene preferencia de paso puede creer, con justa razón que quien guía el otro automóvil, obligado a conocer las disposiciones vigentes se lo cedería (art. 20 Cód. Civil), por lo que continúa su marcha normal y al ocurrir la transgresión se ve sorprendido por esa irregular conducta, lo cual le impide contar con el tiempo necesario para maniobrar y evitar el choque" (Cfr C.C. L.P. B 69976 R.S.D. 188-90).-</w:t>
      </w:r>
    </w:p>
    <w:p>
      <w:pPr>
        <w:pStyle w:val="[Normal]"/>
        <w:spacing w:line="360" w:lineRule="auto"/>
        <w:ind w:firstLine="1134"/>
        <w:jc w:val="both"/>
        <w:rPr>
          <w:color w:val="000000"/>
          <w:lang w:val="es-AR" w:eastAsia="es-AR" w:bidi="es-AR"/>
        </w:rPr>
      </w:pPr>
      <w:r>
        <w:rPr>
          <w:color w:val="000000"/>
          <w:lang w:val="es-AR" w:eastAsia="es-AR" w:bidi="es-AR"/>
        </w:rPr>
        <w:t xml:space="preserve">A mayor abundamiento (y como lo ha señalado el juzgador primero es doctrina legal de la Suprema Corte de Justicia de la Provincia de Buenos Aires que tanto "el art. 71 de la ley 5800 como el art. 57 de la ley 11.430, imponen al conductor que llegue a una bocacalle la obligación de reducir sensiblemente la velocidad y la de ceder el paso al vehículo que se presente por su derecha y ello es así sin discriminar quien fue el primero que llegó a la bocacalle" (Ac 47.547).  En efecto, interpretando el primero de los dispositivos legales, puntualiza el ministro Hitters que "se impone una obligación a todo conductor que enfrenta una encrucijada o bocacalle: disminuir sensiblemente la velocidad, que en buen romance significa casi detener la marcha.  Ello apareja una obligación adicional a quien se presenta por la izquierda: la de ceder el paso.  No están condicionadas al arribo simultáneo, desde que comprobar tales circunstancias impondría -en los hechos- la colocación de sensores para constatarlo.  El texto legal es lo suficientemente claro al respecto: quien viene por la izquierda sólo podrá continuar su marcha si luego de frenar su marcha hasta casi detenerla, advierte que no circulan autos con prioridad de paso.  La actual ley 11.430 en su artículo 57 mantiene esos mismos lineamientos enfatizando por si hacía falta el carácter absoluto de la prioridad ..." -Cfr. Ac. 58.668, 11-3-97 y 47.547, 31-8-93 Jorge Galdós, Derecho de Daños en la Suprema Corte de Justicia de la Pcia. de Buenos Aires, pág. 325.-</w:t>
      </w:r>
    </w:p>
    <w:p>
      <w:pPr>
        <w:pStyle w:val="[Normal]"/>
        <w:spacing w:line="360" w:lineRule="auto"/>
        <w:ind w:firstLine="1134"/>
        <w:jc w:val="both"/>
        <w:rPr>
          <w:color w:val="000000"/>
          <w:lang w:val="es-AR" w:eastAsia="es-AR" w:bidi="es-AR"/>
        </w:rPr>
      </w:pPr>
      <w:r>
        <w:rPr>
          <w:color w:val="000000"/>
          <w:lang w:val="es-AR" w:eastAsia="es-AR" w:bidi="es-AR"/>
        </w:rPr>
        <w:t xml:space="preserve">Por ello, es que la regla de prioridad de paso debe ser sometida a la valoración derivada de las circunstancias, y de éstas se desprende como acreditado de las constancias reseñadas de la causa penal, ingresadas válidamente a este proceso mediante la instrumental y que se tornara prueba común de las partes; que dan por cierto que el vehículo además de contar con la prioridad de paso ya había traspuesto la línea media de la encrucijada y que la regla fundamental de tránsito: derecha antes que izquierda fue vulnerada por el propio actor.-</w:t>
      </w:r>
    </w:p>
    <w:p>
      <w:pPr>
        <w:pStyle w:val="[Normal]"/>
        <w:spacing w:line="360" w:lineRule="auto"/>
        <w:ind w:firstLine="1134"/>
        <w:jc w:val="both"/>
        <w:rPr>
          <w:color w:val="000000"/>
          <w:lang w:val="es-AR" w:eastAsia="es-AR" w:bidi="es-AR"/>
        </w:rPr>
      </w:pPr>
      <w:r>
        <w:rPr>
          <w:color w:val="000000"/>
          <w:lang w:val="es-AR" w:eastAsia="es-AR" w:bidi="es-AR"/>
        </w:rPr>
        <w:t xml:space="preserve">Por otra parte el exceso de velocidad que invoca el doliente para exonerar la aplicación de la regla mencionada no ha sido comprobada, puesto que la experticia la ubica entre los 24 y 28 km/h lo cual importa una circulación permitida dentro de esos límites (art. 51 numero E inc I).  Así lo expresa claramente el informe técnico expedido por el Técnico en Accidentología Vial a fs. 56/63 de la IPP cuando señala que "La unidad Chevrolet se desplazaba bajo un rango de velocidad mínima, y no inferior al acotado entre los 24 y 28 km/h.."</w:t>
      </w:r>
    </w:p>
    <w:p>
      <w:pPr>
        <w:pStyle w:val="[Normal]"/>
        <w:spacing w:line="360" w:lineRule="auto"/>
        <w:ind w:firstLine="1134"/>
        <w:jc w:val="both"/>
        <w:rPr>
          <w:color w:val="000000"/>
          <w:lang w:val="es-AR" w:eastAsia="es-AR" w:bidi="es-AR"/>
        </w:rPr>
      </w:pPr>
      <w:r>
        <w:rPr>
          <w:color w:val="000000"/>
          <w:lang w:val="es-AR" w:eastAsia="es-AR" w:bidi="es-AR"/>
        </w:rPr>
        <w:t xml:space="preserve">Claramente eso no fue la causa determinante del accidente, sino por el contrario, fue la conducta de la propia víctima al vulnerar una regla fundamental de la circulación que indica "derecha antes que izquierda".-</w:t>
      </w:r>
    </w:p>
    <w:p>
      <w:pPr>
        <w:pStyle w:val="[Normal]"/>
        <w:spacing w:line="360" w:lineRule="auto"/>
        <w:ind w:firstLine="1134"/>
        <w:jc w:val="both"/>
        <w:rPr>
          <w:color w:val="000000"/>
          <w:lang w:val="es-AR" w:eastAsia="es-AR" w:bidi="es-AR"/>
        </w:rPr>
      </w:pPr>
      <w:r>
        <w:rPr>
          <w:color w:val="000000"/>
          <w:lang w:val="es-AR" w:eastAsia="es-AR" w:bidi="es-AR"/>
        </w:rPr>
        <w:t xml:space="preserve">Por lo demás la normativa aplicada por el juez de grado ha sido correcta en cuanto acudiera a lo normado por los arts. 1708, 1710, 1729, 1734 y ccs del CCCN así como las disposiciones de la Ley de Tránsito (arts. 39, 41, 50 y ccs de dicho cuerpo legal).-</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color w:val="000000"/>
          <w:lang w:val="es-AR" w:eastAsia="es-AR" w:bidi="es-AR"/>
        </w:rPr>
        <w:t xml:space="preserve">VOTO POR LA  AFIRMATIVA.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Roberto Degleue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la señora Jueza Graciela Scaraffia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w:t>
      </w:r>
    </w:p>
    <w:p>
      <w:pPr>
        <w:pStyle w:val="[Normal]"/>
        <w:spacing w:line="360" w:lineRule="auto"/>
        <w:ind w:firstLine="1134"/>
        <w:jc w:val="both"/>
        <w:rPr>
          <w:color w:val="000000"/>
          <w:lang w:val="es-AR" w:eastAsia="es-AR" w:bidi="es-AR"/>
        </w:rPr>
      </w:pPr>
      <w:r>
        <w:rPr>
          <w:color w:val="000000"/>
          <w:lang w:val="es-AR" w:eastAsia="es-AR" w:bidi="es-AR"/>
        </w:rPr>
        <w:t xml:space="preserve">Desestimar el recurso de apelación deducido por la parte actora, confirmando la sentencia de grado en todas sus partes.-</w:t>
      </w:r>
    </w:p>
    <w:p>
      <w:pPr>
        <w:pStyle w:val="[Normal]"/>
        <w:spacing w:line="360" w:lineRule="auto"/>
        <w:ind w:firstLine="1134"/>
        <w:jc w:val="both"/>
        <w:rPr>
          <w:color w:val="000000"/>
          <w:lang w:val="es-AR" w:eastAsia="es-AR" w:bidi="es-AR"/>
        </w:rPr>
      </w:pPr>
      <w:r>
        <w:rPr>
          <w:color w:val="000000"/>
          <w:lang w:val="es-AR" w:eastAsia="es-AR" w:bidi="es-AR"/>
        </w:rPr>
        <w:t xml:space="preserve">Costas de Alzada, al apelante devinto (art. 68 del CPCC) y su doctrina.-</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honorarios de los letrados intervinientes conforme lo normado por el art. 31 y 51 ley arancelaria.-</w:t>
      </w:r>
    </w:p>
    <w:p>
      <w:pPr>
        <w:pStyle w:val="[Normal]"/>
        <w:spacing w:line="360" w:lineRule="auto"/>
        <w:ind w:firstLine="1134"/>
        <w:jc w:val="both"/>
        <w:rPr>
          <w:color w:val="000000"/>
          <w:lang w:val="es-AR" w:eastAsia="es-AR" w:bidi="es-AR"/>
        </w:rPr>
      </w:pPr>
      <w:r>
        <w:rPr>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Roberto Degleue por análogos fundamentos votó en el mismo sentido.- </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Desestimar el recurso de apelación deducido por la parte actora, confirmando la sentencia de grado en todas sus partes.-</w:t>
      </w:r>
    </w:p>
    <w:p>
      <w:pPr>
        <w:pStyle w:val="[Normal]"/>
        <w:spacing w:line="360" w:lineRule="auto"/>
        <w:ind w:firstLine="1134"/>
        <w:jc w:val="both"/>
        <w:rPr>
          <w:color w:val="000000"/>
          <w:lang w:val="es-AR" w:eastAsia="es-AR" w:bidi="es-AR"/>
        </w:rPr>
      </w:pPr>
      <w:r>
        <w:rPr>
          <w:color w:val="000000"/>
          <w:lang w:val="es-AR" w:eastAsia="es-AR" w:bidi="es-AR"/>
        </w:rPr>
        <w:t xml:space="preserve">Costas de Alzada, al apelante devinto (art. 68 del CPCC) y su doctrina.-</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honorarios de los letrados intervinientes conforme lo normado por los arts, 31 y 51 ley arancelaria.</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spacing w:line="360" w:lineRule="auto"/>
        <w:ind w:firstLine="1134"/>
        <w:rPr>
          <w:color w:val="000000"/>
          <w:lang w:val="es-AR" w:eastAsia="es-AR" w:bidi="es-AR"/>
        </w:rPr>
      </w:pPr>
      <w:r>
        <w:rPr>
          <w:color w:val="000000"/>
          <w:lang w:val="es-AR" w:eastAsia="es-AR" w:bidi="es-AR"/>
        </w:rPr>
        <w:t xml:space="preserve">20110204664@NOTIFICACIONES.SCBA.GOV.AR</w:t>
      </w:r>
    </w:p>
    <w:p>
      <w:pPr>
        <w:pStyle w:val="[Normal]"/>
        <w:spacing w:line="360" w:lineRule="auto"/>
        <w:ind w:firstLine="1134"/>
        <w:rPr>
          <w:color w:val="000000"/>
          <w:lang w:val="es-AR" w:eastAsia="es-AR" w:bidi="es-AR"/>
        </w:rPr>
      </w:pPr>
      <w:r>
        <w:rPr>
          <w:color w:val="000000"/>
          <w:lang w:val="es-AR" w:eastAsia="es-AR" w:bidi="es-AR"/>
        </w:rPr>
        <w:t xml:space="preserve">20237896727@NOTIFICACIONES.SCBA.GOV.AR</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06/07/2021 10:01:35 -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06/07/2021 10:08:45 -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06/07/2021 10:23:06 -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20110204664@NOTIFICACIONES.SCBA.GOV.AR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20237896727@NOTIFICACIONES.SCBA.GOV.AR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‰7{")è%4~s`Š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239102090005209483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6" w:h="16837"/>
      <w:pgMar w:top="3402"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rPr>
              <w:b/>
              <w:color w:val="000000"/>
              <w:sz w:val="20"/>
              <w:lang w:val="es-AR" w:eastAsia="es-AR" w:bidi="es-AR"/>
            </w:rPr>
          </w:pPr>
          <w:r>
            <w:rPr>
              <w:b/>
              <w:color w:val="000000"/>
              <w:sz w:val="20"/>
              <w:lang w:val="es-AR" w:eastAsia="es-AR" w:bidi="es-AR"/>
            </w:rPr>
            <w:t xml:space="preserve">4037 - 20 - CEPEDA OMAR ALBERTO C/ GOUK MIGUEL ANGEL Y OTROS  S/ DAÑOS Y PERJ.AUTOM. C/LES. O MUERTE (EXC.ESTADO)   </w:t>
          </w:r>
        </w:p>
        <w:p>
          <w:pPr>
            <w:pStyle w:val="[Normal]"/>
            <w:jc w:val="right"/>
            <w:rPr>
              <w:lang w:val="es-AR" w:eastAsia="es-AR" w:bidi="es-AR"/>
            </w:rPr>
          </w:pPr>
          <w:r>
            <w:rPr>
              <w:rFonts w:ascii="BarCode 128" w:hAnsi="BarCode 128" w:eastAsia="BarCode 128" w:cs="BarCode 128"/>
              <w:color w:val="000000"/>
              <w:sz w:val="50"/>
              <w:lang w:val="es-AR" w:eastAsia="es-AR" w:bidi="es-AR"/>
            </w:rPr>
            <w:t xml:space="preserve">‰7{")è%4~s`Š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