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78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427/431</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4260-21</w:t>
      </w:r>
      <w:r>
        <w:rPr>
          <w:lang w:val="es-AR" w:eastAsia="es-AR" w:bidi="es-AR"/>
        </w:rPr>
        <w:t xml:space="preserve"> caratulada </w:t>
      </w:r>
      <w:r>
        <w:rPr>
          <w:b/>
          <w:lang w:val="es-AR" w:eastAsia="es-AR" w:bidi="es-AR"/>
        </w:rPr>
        <w:t xml:space="preserve">"</w:t>
      </w:r>
      <w:r>
        <w:rPr>
          <w:b/>
          <w:color w:val="000000"/>
          <w:lang w:val="es-AR" w:eastAsia="es-AR" w:bidi="es-AR"/>
        </w:rPr>
        <w:t xml:space="preserve">PARDO SA  C/ PEÑA DIEGO ROBERTO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85913</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Graciela Scaraffia - Roberto 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señor juez de la primera instancia dispuso mediante resolución de fecha 5/4/2021 el libramiento de mandamiento de ejecución y embargo por la suma  de </w:t>
      </w:r>
      <w:r>
        <w:rPr>
          <w:color w:val="000000"/>
          <w:lang w:val="es-AR" w:eastAsia="es-AR" w:bidi="es-AR"/>
        </w:rPr>
        <w:t xml:space="preserve">Pesos SIETE MIL QUINIENTOS CINCUENTA Y OCHO CON 02/100 ($7.558,03)</w:t>
      </w:r>
      <w:r>
        <w:rPr>
          <w:lang w:val="es-AR" w:eastAsia="es-AR" w:bidi="es-AR"/>
        </w:rPr>
        <w:t xml:space="preserve"> , con más la de </w:t>
      </w:r>
      <w:r>
        <w:rPr>
          <w:color w:val="000000"/>
          <w:lang w:val="es-AR" w:eastAsia="es-AR" w:bidi="es-AR"/>
        </w:rPr>
        <w:t xml:space="preserve">Pesos DOS MIL DOSCIENTOS SESENTA Y SIETE CON 40/100 ($2.267,40)</w:t>
      </w:r>
      <w:r>
        <w:rPr>
          <w:lang w:val="es-AR" w:eastAsia="es-AR" w:bidi="es-AR"/>
        </w:rPr>
        <w:t xml:space="preserve">, que se presuponen "prima facie" para intereses, costos y costas de  la ejecución. En este sentido, aclaró que, dada la falta de equivalencia entre el contenido del pagaré y las condiciones del crédito, la ejecución debía despacharse por el importe del capital efectivamente prestado, sin perjuicio de los intereses y gastos que en la etapa de ejecución de sentencia puedan incorporarse a la liquidación.</w:t>
      </w:r>
    </w:p>
    <w:p>
      <w:pPr>
        <w:pStyle w:val="[Normal]"/>
        <w:spacing w:line="360" w:lineRule="auto"/>
        <w:ind w:firstLine="1134"/>
        <w:jc w:val="both"/>
        <w:rPr>
          <w:lang w:val="es-AR" w:eastAsia="es-AR" w:bidi="es-AR"/>
        </w:rPr>
      </w:pPr>
      <w:r>
        <w:rPr>
          <w:lang w:val="es-AR" w:eastAsia="es-AR" w:bidi="es-AR"/>
        </w:rPr>
        <w:t xml:space="preserve">Disconforme con lo decidido, el apoderado de la actora dedujo recurso de reposición con apelación en subsidio, mediante presentación electrónica de fecha 10/4/2020.</w:t>
      </w:r>
    </w:p>
    <w:p>
      <w:pPr>
        <w:pStyle w:val="[Normal]"/>
        <w:spacing w:line="360" w:lineRule="auto"/>
        <w:ind w:firstLine="1134"/>
        <w:jc w:val="both"/>
        <w:rPr>
          <w:lang w:val="es-AR" w:eastAsia="es-AR" w:bidi="es-AR"/>
        </w:rPr>
      </w:pPr>
      <w:r>
        <w:rPr>
          <w:lang w:val="es-AR" w:eastAsia="es-AR" w:bidi="es-AR"/>
        </w:rPr>
        <w:t xml:space="preserve">Basa su crítica en que el fallo desconoce que su parte ha dado cumplimiento a los requisitos del art. 36 de la ley 24.240. Al respecto, aduce que </w:t>
      </w:r>
      <w:r>
        <w:rPr>
          <w:lang w:val="es-AR" w:eastAsia="es-AR" w:bidi="es-AR"/>
        </w:rPr>
        <w:t xml:space="preserve">en el documento que integra el pagaré y del cual subyace la relación entre ambas partes se especifica claramente: lugar y fecha de la operatoria, datos completos de ambas partes, número de factura emitida y entregada con la compra, solicitud del comprador para cancelar su compra en cuotas, descripción del producto adquirido, precio unitario de lista, monto financiado total, tasa de interés directa, monto de interés discriminado, cantidad de cuotas pactadas para la cancelación de la operatoria, importe de cada cuota, fecha de vencimiento de cada una de ellas.</w:t>
      </w:r>
    </w:p>
    <w:p>
      <w:pPr>
        <w:pStyle w:val="[Normal]"/>
        <w:spacing w:line="360" w:lineRule="auto"/>
        <w:ind w:firstLine="1134"/>
        <w:jc w:val="both"/>
        <w:rPr>
          <w:lang w:val="es-AR" w:eastAsia="es-AR" w:bidi="es-AR"/>
        </w:rPr>
      </w:pPr>
      <w:r>
        <w:rPr>
          <w:lang w:val="es-AR" w:eastAsia="es-AR" w:bidi="es-AR"/>
        </w:rPr>
        <w:t xml:space="preserve">Asimismo, fundamenta su queja en que el juzgador de grado no tuvo en cuenta</w:t>
      </w:r>
      <w:r>
        <w:rPr>
          <w:lang w:val="es-AR" w:eastAsia="es-AR" w:bidi="es-AR"/>
        </w:rPr>
        <w:t xml:space="preserve"> que los intereses pactados entre ambas partes y debidamente detallados en la documentación adjunta (tal como se especifica up-supra) se encuentran vencidos, no sólo al momento de interponer la demanda, sino también al momento de presentar el documento al cobro, a saber 10/03/2019. Es decir a esa fecha habían vencido las doce (12) cuotas de financiación pactadas, por lo que resultaban exigibles y debieron haber sido incluidos en el monto ejecutable.</w:t>
      </w:r>
    </w:p>
    <w:p>
      <w:pPr>
        <w:pStyle w:val="[Normal]"/>
        <w:spacing w:line="360" w:lineRule="auto"/>
        <w:ind w:firstLine="1134"/>
        <w:jc w:val="both"/>
        <w:rPr>
          <w:lang w:val="es-AR" w:eastAsia="es-AR" w:bidi="es-AR"/>
        </w:rPr>
      </w:pPr>
      <w:r>
        <w:rPr>
          <w:lang w:val="es-AR" w:eastAsia="es-AR" w:bidi="es-AR"/>
        </w:rPr>
        <w:t xml:space="preserve">Finalmente, se agravia de que </w:t>
      </w:r>
      <w:r>
        <w:rPr>
          <w:lang w:val="es-AR" w:eastAsia="es-AR" w:bidi="es-AR"/>
        </w:rPr>
        <w:t xml:space="preserve">el a quo infiere que el interés “pactado” entre las partes es abusivo y desproporcionado, ya que hace alusión al art. 771 CCC.-, pudiendo resolver esa cuestión en la sentencia definitiva, por cuanto al hacerlo en la etapa procesal de formación de la causa cercena el derecho de su poderdante al intento del cobro total de su acreencia. Complementariamente, señala que la tasa pactada el 31 de marzo de 2018 para ser aplicada al monto prestado es de un 24% y se encuentra dentro de los índices de las tasas de mercado oficiales publicadas y permitidas.</w:t>
      </w:r>
    </w:p>
    <w:p>
      <w:pPr>
        <w:pStyle w:val="[Normal]"/>
        <w:spacing w:line="360" w:lineRule="auto"/>
        <w:ind w:firstLine="1134"/>
        <w:jc w:val="both"/>
        <w:rPr>
          <w:lang w:val="es-AR" w:eastAsia="es-AR" w:bidi="es-AR"/>
        </w:rPr>
      </w:pPr>
      <w:r>
        <w:rPr>
          <w:lang w:val="es-AR" w:eastAsia="es-AR" w:bidi="es-AR"/>
        </w:rPr>
        <w:t xml:space="preserve">En consecuencia, solicita se revoque el decisorio atacado.-</w:t>
      </w:r>
    </w:p>
    <w:p>
      <w:pPr>
        <w:pStyle w:val="[Normal]"/>
        <w:spacing w:line="360" w:lineRule="auto"/>
        <w:ind w:firstLine="1134"/>
        <w:jc w:val="both"/>
        <w:rPr>
          <w:lang w:val="es-AR" w:eastAsia="es-AR" w:bidi="es-AR"/>
        </w:rPr>
      </w:pPr>
      <w:r>
        <w:rPr>
          <w:lang w:val="es-AR" w:eastAsia="es-AR" w:bidi="es-AR"/>
        </w:rPr>
        <w:t xml:space="preserve">Desestimada la revocatoria, el a-quo concede la apelación subsidiariamente interpuesta y elevados los autos a esta Alzada en fecha 6/5/2021 pasan a resolver, providencia que hallándose firme deja la causa en condiciones de ser fallada.    </w:t>
      </w:r>
    </w:p>
    <w:p>
      <w:pPr>
        <w:pStyle w:val="[Normal]"/>
        <w:spacing w:line="360" w:lineRule="auto"/>
        <w:ind w:firstLine="1134"/>
        <w:jc w:val="both"/>
        <w:rPr>
          <w:b/>
          <w:lang w:val="es-AR" w:eastAsia="es-AR" w:bidi="es-AR"/>
        </w:rPr>
      </w:pPr>
      <w:r>
        <w:rPr>
          <w:lang w:val="es-AR" w:eastAsia="es-AR" w:bidi="es-AR"/>
        </w:rPr>
        <w:t xml:space="preserve">Liminarmente, he de señalar que la cuestión traída a esta Alzada encuentra su conflicto en la aplicación e integración de la normativa mercantil (Dec. Ley 5965/63) y la Ley de Defensa del Consumidor (Ley 24.240), cuestión compleja que acarrean los títulos ejecutivos creados en el marco de una relación de consumo, que ha dado lugar a una frondosa y variada doctrina y jurisprudencia.</w:t>
      </w:r>
    </w:p>
    <w:p>
      <w:pPr>
        <w:pStyle w:val="[Normal]"/>
        <w:spacing w:line="360" w:lineRule="auto"/>
        <w:ind w:firstLine="1134"/>
        <w:jc w:val="both"/>
        <w:rPr>
          <w:b/>
          <w:lang w:val="es-AR" w:eastAsia="es-AR" w:bidi="es-AR"/>
        </w:rPr>
      </w:pPr>
      <w:r>
        <w:rPr>
          <w:lang w:val="es-AR" w:eastAsia="es-AR" w:bidi="es-AR"/>
        </w:rPr>
        <w:t xml:space="preserve">Si bien en nuestro caso, el recurrente consintió la normativa consumeril aplicada de oficio pues no se agravia al respecto, se alza contra el decisorio que redujo el monto de la ejecución al dinero efectivamente percibido por el ejecutado conforme el contrato de mutuo acompañado, circunscribiendo su queja a que el juez no mandó llevar adelante la ejecución conforme lo convenido por las partes y al cuestionamiento implícito de los intereses por parte del sentenciante de grado mediante la invocación del art. 771 del CCyC.</w:t>
      </w:r>
    </w:p>
    <w:p>
      <w:pPr>
        <w:pStyle w:val="[Normal]"/>
        <w:spacing w:line="360" w:lineRule="auto"/>
        <w:ind w:firstLine="1134"/>
        <w:jc w:val="both"/>
        <w:rPr>
          <w:lang w:val="es-AR" w:eastAsia="es-AR" w:bidi="es-AR"/>
        </w:rPr>
      </w:pPr>
      <w:r>
        <w:rPr>
          <w:lang w:val="es-AR" w:eastAsia="es-AR" w:bidi="es-AR"/>
        </w:rPr>
        <w:t xml:space="preserve">Sobre ambas temáticas debo anticipar que ya me he pronunciado en las causas N° 3818 "CREDINEGOCIOS MOSCASIL S.A. c/ Vazquez Marcelo Fabian s/ cobro ejecutivo", 3885 "CREDINEGOCIOS MOSCASIL S.A.  C/ Mendez Ariel Esteban y otro s/ cobro ejecutivo" y 3965 "</w:t>
      </w:r>
      <w:r>
        <w:rPr>
          <w:color w:val="000000"/>
          <w:lang w:val="es-AR" w:eastAsia="es-AR" w:bidi="es-AR"/>
        </w:rPr>
        <w:t xml:space="preserve">CFN S.A.  C/ LUCCI NORMA BEATRIZ S/ COBRO EJECUTIVO</w:t>
      </w:r>
      <w:r>
        <w:rPr>
          <w:i/>
          <w:lang w:val="es-AR" w:eastAsia="es-AR" w:bidi="es-AR"/>
        </w:rPr>
        <w:t xml:space="preserve">" . </w:t>
      </w:r>
      <w:r>
        <w:rPr>
          <w:lang w:val="es-AR" w:eastAsia="es-AR" w:bidi="es-AR"/>
        </w:rPr>
        <w:t xml:space="preserve">En aquellas oportunidades, esta Alzada se expidió mandando a pagar capital más intereses pactados en el contrato de mutuo con deducción de los importes ya abonados, todo ello sin perjuicio de diferir la evaluación de si los mismos resultaban excesivos y contrarios a la moral y buenas costumbres al momento procesal de examinar la liquidación, teniendo en cuenta lo que disponen los arts. 10, 279, 771, 794 y ccs. del Código Civil y Comercial.</w:t>
      </w:r>
    </w:p>
    <w:p>
      <w:pPr>
        <w:pStyle w:val="[Normal]"/>
        <w:spacing w:line="360" w:lineRule="auto"/>
        <w:ind w:firstLine="1134"/>
        <w:jc w:val="both"/>
        <w:rPr>
          <w:lang w:val="es-AR" w:eastAsia="es-AR" w:bidi="es-AR"/>
        </w:rPr>
      </w:pPr>
      <w:r>
        <w:rPr>
          <w:lang w:val="es-AR" w:eastAsia="es-AR" w:bidi="es-AR"/>
        </w:rPr>
        <w:t xml:space="preserve"> De modo que la similitud formal y sustancial de los precedentes aludidos con la presente causa resulta evidente y comprobable. A saber, en los tres supuestos se trata una pretensión ejecutiva integrada por un crédito documentado en un contrato de mutuo y simultáneamente instrumentado en un pagaré -en este último se capitalizan intereses devengados con base en la relación causal-, y el objeto del reclamo judicial se proyecta sobre el capital más los intereses.</w:t>
      </w:r>
    </w:p>
    <w:p>
      <w:pPr>
        <w:pStyle w:val="[Normal]"/>
        <w:spacing w:line="360" w:lineRule="auto"/>
        <w:ind w:firstLine="1134"/>
        <w:jc w:val="both"/>
        <w:rPr>
          <w:lang w:val="es-AR" w:eastAsia="es-AR" w:bidi="es-AR"/>
        </w:rPr>
      </w:pPr>
      <w:r>
        <w:rPr>
          <w:lang w:val="es-AR" w:eastAsia="es-AR" w:bidi="es-AR"/>
        </w:rPr>
        <w:t xml:space="preserve"> En este sentido, cabe aseverar que el respeto al propio precedente es la traducción jurídica del requisito de la universalidad que debe presidir a la argumentación jurídica. Constituye, en tal aspecto, una regla de racionalidad que garantiza la actuación no arbitraria de los órganos jurisdiccionales y que, en consecuencia, deja intacto el sistema de fuentes de nuestro Derecho articulado en tomo al principio de legalidad. Al decir de Abellán Gascón, </w:t>
      </w:r>
      <w:r>
        <w:rPr>
          <w:i/>
          <w:lang w:val="es-AR" w:eastAsia="es-AR" w:bidi="es-AR"/>
        </w:rPr>
        <w:t xml:space="preserve">"el respeto al precedente supone, pues, un género de motivación especial cuyo sentido podría formularse como sigue: hay que interpretar el Derecho conforme a criterios que, por considerarlos correctos, se estuviera dispuesto a utilizar en la resolución de todos los casos iguales que puedan presentarse en el futuro"</w:t>
      </w:r>
      <w:r>
        <w:rPr>
          <w:lang w:val="es-AR" w:eastAsia="es-AR" w:bidi="es-AR"/>
        </w:rPr>
        <w:t xml:space="preserve"> (Cf. ABELLÁN GASCÓN, Marina, Igualdad y respeto al precedente, Universidad de Castilla La Mancha, pag. 233). </w:t>
      </w:r>
    </w:p>
    <w:p>
      <w:pPr>
        <w:pStyle w:val="[Normal]"/>
        <w:spacing w:line="360" w:lineRule="auto"/>
        <w:ind w:firstLine="1134"/>
        <w:jc w:val="both"/>
        <w:rPr>
          <w:b/>
          <w:lang w:val="es-AR" w:eastAsia="es-AR" w:bidi="es-AR"/>
        </w:rPr>
      </w:pPr>
      <w:r>
        <w:rPr>
          <w:lang w:val="es-AR" w:eastAsia="es-AR" w:bidi="es-AR"/>
        </w:rPr>
        <w:t xml:space="preserve">Empero, y dado que las características particulares del presente caso (en la especie, todas las cuotas se hallan vencidas y no se ha acreditado la realización de pagos parciales) corresponde efectuar aquí una readaptación de la regla del autoprecedente sentada en las causas de referencia, mediante la adopción de una solución que guarde coherencia lógica y jurídica con la mentada resolución.</w:t>
      </w:r>
    </w:p>
    <w:p>
      <w:pPr>
        <w:pStyle w:val="[Normal]"/>
        <w:spacing w:line="360" w:lineRule="auto"/>
        <w:ind w:firstLine="1134"/>
        <w:jc w:val="both"/>
        <w:rPr>
          <w:b/>
          <w:lang w:val="es-AR" w:eastAsia="es-AR" w:bidi="es-AR"/>
        </w:rPr>
      </w:pPr>
      <w:r>
        <w:rPr>
          <w:lang w:val="es-AR" w:eastAsia="es-AR" w:bidi="es-AR"/>
        </w:rPr>
        <w:t xml:space="preserve">Sentado ello, y analizando la documentación agregada, se advierte que el pagaré fue librado por la suma de $ 9.371, importe que totaliza capital más intereses. Dicho instrumento ha sido integrado desde el inicio con el documento anexo adjuntado (v. archivo adjunto presentación electrónica 29-3-2021), del cual surge que el monto de capital otorgado en préstamo al demandado lo fue por la suma de $ 7.558,02 y se establecieron las condiciones del préstamo sobre una tasa directa del 24% que arroja el importe de $ 1.813 en concepto de intereses, y que sumado al importe del capital fundamenta la cifra total por la que fue librado el pagaré. Con ambos documentos se dio cumplimiento con la integración del título conforme lo ha dispuesto la jurisprudencia imperante en la Provincia. Mediante el mandamiento de intimación de pago digitalizado el 5-4-2021, debidamente diligenciado, se bilateralizó el reclamo junto con los documentos base de la acción y la demandada tomo conocimiento de lo reclamado, sin plantear ninguna defensa que haga a su derecho (art. 521 y 530 del CPCC).  </w:t>
      </w:r>
    </w:p>
    <w:p>
      <w:pPr>
        <w:pStyle w:val="[Normal]"/>
        <w:spacing w:line="360" w:lineRule="auto"/>
        <w:ind w:firstLine="1134"/>
        <w:jc w:val="both"/>
        <w:rPr>
          <w:lang w:val="es-AR" w:eastAsia="es-AR" w:bidi="es-AR"/>
        </w:rPr>
      </w:pPr>
      <w:r>
        <w:rPr>
          <w:lang w:val="es-AR" w:eastAsia="es-AR" w:bidi="es-AR"/>
        </w:rPr>
        <w:t xml:space="preserve">Sabido es que el juez tiene la facultad de analizar al tiempo de dictar la sentencia, los títulos base de la ejecución, y sobre el particular la Suprema Corte de la Provincia  expuso recientemente, la posibilidad que el magistrado analice la documentación subyacente. En la causa C122.124, Recupero On line S.A. (resol. De 18-XI-2019), la Corte añadió que los jueces se encuentran habilitados para examinar si los papeles cambiarios abastecen los recaudos exigidos por el mentado art. 36, pudiendo valorar aquellos instrumentos complementarios que se hubieran acompañado en la demanda y/u ordenar su acompañamiento en el supuesto que se hubiesen omitido, a través de la vía procesal pertinente (art. 34 inc 5, apdo b, 36 inc. 2 y 523 del CPCC). De ahí que, si los títulos en cuestión, en forma autónoma o integrada, satisfacen las exigencias legales prescriptas en el estatuto consumeril, los magistrados podrán dar curso a la ejecución. Lo dicho, claro está, sin desmedro del derecho del ejecutado de articular defensas, incluso centradas en el art. 36 de la Ley 24.240, tendientes a neutralizar la procedencia de la acción (Conf. Doctr. Causas C. 121.684, Asociacion Mutual Asis; C. 122.124 Recupero On Line S.A. ambas citadas mas arriba y C.122.155 Banco Columbia, resol. 16-X-2019, y recientemente, C.122.128 Trus Funds S.A. vs. Romero s cobro ejecutivo, SCJ, 7-5-2020).</w:t>
      </w:r>
    </w:p>
    <w:p>
      <w:pPr>
        <w:pStyle w:val="[Normal]"/>
        <w:spacing w:line="360" w:lineRule="auto"/>
        <w:ind w:firstLine="1134"/>
        <w:jc w:val="both"/>
        <w:rPr>
          <w:lang w:val="es-AR" w:eastAsia="es-AR" w:bidi="es-AR"/>
        </w:rPr>
      </w:pPr>
      <w:r>
        <w:rPr>
          <w:lang w:val="es-AR" w:eastAsia="es-AR" w:bidi="es-AR"/>
        </w:rPr>
        <w:t xml:space="preserve">En el </w:t>
      </w:r>
      <w:r>
        <w:rPr>
          <w:i/>
          <w:lang w:val="es-AR" w:eastAsia="es-AR" w:bidi="es-AR"/>
        </w:rPr>
        <w:t xml:space="preserve">sub-lite</w:t>
      </w:r>
      <w:r>
        <w:rPr>
          <w:lang w:val="es-AR" w:eastAsia="es-AR" w:bidi="es-AR"/>
        </w:rPr>
        <w:t xml:space="preserve">, analizando el pagaré y el contrato de mutuo, conformando así un título complejo, resulta que el ejecutante cumplió con los requisitos previstos en el art. 36 de la LDC, y siguiendo los lineamientos establecidos por el Máximo Tribunal, y lo resuelto por la juez que previno, la presente ejecución ha de prosperar por el monto total del pagaré, sin que corresponda deducir la suma correspondiente a intereses, toda vez que al tiempo de interposición del presente reclamo judicial la totalidad de las cuotas ya se encontraban vencidas y no surge la efectivización de pagos parciales, por lo que no hay motivo para marginar del monto ejecutable el importe correspondiente a los intereses convenidos en el instrumento de crédito que conforme a las constancias de autos ya estarían devengados.</w:t>
      </w:r>
    </w:p>
    <w:p>
      <w:pPr>
        <w:pStyle w:val="[Normal]"/>
        <w:spacing w:line="360" w:lineRule="auto"/>
        <w:ind w:firstLine="1134"/>
        <w:jc w:val="both"/>
        <w:rPr>
          <w:lang w:val="es-AR" w:eastAsia="es-AR" w:bidi="es-AR"/>
        </w:rPr>
      </w:pPr>
      <w:r>
        <w:rPr>
          <w:lang w:val="es-AR" w:eastAsia="es-AR" w:bidi="es-AR"/>
        </w:rPr>
        <w:t xml:space="preserve">En virtud de ello, y tal como esta Alzada sostuvo en la causa n° 4.005 caratulada "</w:t>
      </w:r>
      <w:r>
        <w:rPr>
          <w:color w:val="000000"/>
          <w:lang w:val="es-AR" w:eastAsia="es-AR" w:bidi="es-AR"/>
        </w:rPr>
        <w:t xml:space="preserve">ASOCIACION MUTUAL DE VENADO TUERTO C/ ALVAREZ MARIA EUGENIA Y OTRO/A S/ COBRO EJECUTIVO</w:t>
      </w:r>
      <w:r>
        <w:rPr>
          <w:lang w:val="es-AR" w:eastAsia="es-AR" w:bidi="es-AR"/>
        </w:rPr>
        <w:t xml:space="preserve">" y en la causa n° 3974 </w:t>
      </w:r>
      <w:r>
        <w:rPr>
          <w:i/>
          <w:lang w:val="es-AR" w:eastAsia="es-AR" w:bidi="es-AR"/>
        </w:rPr>
        <w:t xml:space="preserve">"</w:t>
      </w:r>
      <w:r>
        <w:rPr>
          <w:i/>
          <w:color w:val="000000"/>
          <w:lang w:val="es-AR" w:eastAsia="es-AR" w:bidi="es-AR"/>
        </w:rPr>
        <w:t xml:space="preserve">PARDO S.A.  C/ LARRABURU HECTOR DANIEL S/ COBRO EJECUTIVO</w:t>
      </w:r>
      <w:r>
        <w:rPr>
          <w:i/>
          <w:lang w:val="es-AR" w:eastAsia="es-AR" w:bidi="es-AR"/>
        </w:rPr>
        <w:t xml:space="preserve">", </w:t>
      </w:r>
      <w:r>
        <w:rPr>
          <w:lang w:val="es-AR" w:eastAsia="es-AR" w:bidi="es-AR"/>
        </w:rPr>
        <w:t xml:space="preserve">la determinación del monto ejecutable puede determinarse con simples cálculos o cotejos documentales, sin que resulte menester abrir una investigación de hecho para determinar el momento exacto del pago o los pagos parciales realizados por la demandada, lo que excedería el marco cognoscitivo acotado del juicio ejecutivo. Téngase presente que en ambos casos se reclamaba el total de la cuota adeudadas por haberse configura el estado de mora respecto a cada una de ellas.</w:t>
      </w:r>
    </w:p>
    <w:p>
      <w:pPr>
        <w:pStyle w:val="[Normal]"/>
        <w:spacing w:line="360" w:lineRule="auto"/>
        <w:ind w:firstLine="1134"/>
        <w:jc w:val="both"/>
        <w:rPr>
          <w:b/>
          <w:lang w:val="es-AR" w:eastAsia="es-AR" w:bidi="es-AR"/>
        </w:rPr>
      </w:pPr>
      <w:r>
        <w:rPr>
          <w:lang w:val="es-AR" w:eastAsia="es-AR" w:bidi="es-AR"/>
        </w:rPr>
        <w:t xml:space="preserve">Finalmente, en cuanto al agravio relativo a la invocación del art. 771 relativo a la morigeración de los intereses, cabe observar que si bien el CCyC atribuye a los jueces dicha facultad cuando la tasa fijada pueda importar una carga desmedida para el deudor, o exceda sin justificación y desproporcionadamente, el costo medio del dinero para deudores y operaciones similares en el lugar donde se contrajo la obligación (art. 771 CCyC), conforme me he expedido en las causas a las que hice referencia a comenzar el desarrollo de mi voto, considero que corresponde posponer el análisis de las cláusulas de intereses para el momento de la liquidación desde que en esa ocasión se va a poder determinar con exactitud y precisión la suma total que corresponde a intereses.</w:t>
      </w:r>
    </w:p>
    <w:p>
      <w:pPr>
        <w:pStyle w:val="[Normal]"/>
        <w:spacing w:line="360" w:lineRule="auto"/>
        <w:ind w:firstLine="1134"/>
        <w:jc w:val="both"/>
        <w:rPr>
          <w:color w:val="000000"/>
          <w:lang w:val="es-AR" w:eastAsia="es-AR" w:bidi="es-AR"/>
        </w:rPr>
      </w:pPr>
      <w:r>
        <w:rPr>
          <w:lang w:val="es-AR" w:eastAsia="es-AR" w:bidi="es-AR"/>
        </w:rPr>
        <w:t xml:space="preserve">En este sentido, esta Alzada tiene resuelto que ello no importa vulnerar la cualidad de cosa juzgada de la sentencia judicial, habida cuenta de que la revisión ulterior del monto de los intereses bien puede estar prevista en la propia resolución de condena. No media en estos supuestos una afectación del derecho constitucional de propiedad, sino más bien una modalización temporal de la sentencia judicial que contempla en su propio espectro virtual la posibilidad de controlar la abusividad de los intereses en la etapa de liquidación que es, en definitiva, el momento procesal en el que se puede establecer con precisión la cuantía exacta de los intereses devengados (conf. causa N° 3885 "CREDINEGOCIOS MOSCASIL S.A.  C/ Mendez Ariel Esteban y otro s/ cobro ejecutivo").</w:t>
      </w:r>
    </w:p>
    <w:p>
      <w:pPr>
        <w:pStyle w:val="[Normal]"/>
        <w:spacing w:line="360" w:lineRule="auto"/>
        <w:ind w:firstLine="1134"/>
        <w:jc w:val="both"/>
        <w:rPr>
          <w:lang w:val="es-AR" w:eastAsia="es-AR" w:bidi="es-AR"/>
        </w:rPr>
      </w:pPr>
      <w:r>
        <w:rPr>
          <w:lang w:val="es-AR" w:eastAsia="es-AR" w:bidi="es-AR"/>
        </w:rPr>
        <w:t xml:space="preserve">Cabe señalar también que el carácter completo de la sentencia de condena no implica necesariamente que ésta habrá de precisar la suma nominal debida en forma definitiva, sino tan sólo que debe prever las bases jurídicas para determinar lo realmente adeudado. Por lo que, como dije, nada empece a que la resolución aludida difiera el control de abusividad de los intereses para el momento de la liquidación (oportunidad en la que el juez podrá determinar los intereses devengados con anterioridad y posterioridad a la sentencia judicial, descontar los pagos parciales realizados conforme a las reglas legales de imputación y, en definitiva, formarse una representación clara del monto final adeudado). </w:t>
      </w:r>
    </w:p>
    <w:p>
      <w:pPr>
        <w:pStyle w:val="[Normal]"/>
        <w:spacing w:line="360" w:lineRule="auto"/>
        <w:ind w:firstLine="1134"/>
        <w:jc w:val="both"/>
        <w:rPr>
          <w:lang w:val="es-AR" w:eastAsia="es-AR" w:bidi="es-AR"/>
        </w:rPr>
      </w:pPr>
      <w:r>
        <w:rPr>
          <w:lang w:val="es-AR" w:eastAsia="es-AR" w:bidi="es-AR"/>
        </w:rPr>
        <w:t xml:space="preserve">De manera que existen razones lógicas y prácticas que justifican el diferimiento de dicho análisis para la oportunidad de referencia. Y a los fines de asegurar la inmutabilidad de la cosa juzgada (que en esta materia, cabe agregar, es relativa y no absoluta por tratarse de una cosa juzgada de tipo formal), lo esencial es que las operaciones determinativas posteriores al dictado de la sentencia no aparezcan como maniobras ajenas al decisorio, sino como la plasmación efectiva de criterios determinativos allí contemplados (art. 165 y 549 del CPCCBA), aún cuando tal aplicación sea diferida y no obstante que su realización implique algún grado de valoración jurídica y no meramente matemática.</w:t>
      </w:r>
    </w:p>
    <w:p>
      <w:pPr>
        <w:pStyle w:val="[Normal]"/>
        <w:spacing w:line="360" w:lineRule="auto"/>
        <w:ind w:firstLine="1134"/>
        <w:jc w:val="both"/>
        <w:rPr>
          <w:color w:val="000000"/>
          <w:lang w:val="es-AR" w:eastAsia="es-AR" w:bidi="es-AR"/>
        </w:rPr>
      </w:pPr>
      <w:r>
        <w:rPr>
          <w:lang w:val="es-AR" w:eastAsia="es-AR" w:bidi="es-AR"/>
        </w:rPr>
        <w:t xml:space="preserve">En función de lo expuesto, propongo modificar en este punto el pronunciamiento de grado por lo que al monto de capital dado en préstamo se le adicionaran los intereses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señores Jueces Graciela Scaraffía y Roberto Degleue</w:t>
      </w:r>
      <w:r>
        <w:rPr>
          <w:color w:val="000000"/>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decisorio apelado, disponiendo que se de curso a la ejecución incoada en los términos indicados en los considerandos del presente  (arts. 518, 421 y ccs. del CPCC).</w:t>
      </w:r>
    </w:p>
    <w:p>
      <w:pPr>
        <w:pStyle w:val="[Normal]"/>
        <w:spacing w:line="360" w:lineRule="auto"/>
        <w:ind w:firstLine="1134"/>
        <w:jc w:val="both"/>
        <w:rPr>
          <w:lang w:val="es-AR" w:eastAsia="es-AR" w:bidi="es-AR"/>
        </w:rPr>
      </w:pPr>
      <w:r>
        <w:rPr>
          <w:lang w:val="es-AR" w:eastAsia="es-AR" w:bidi="es-AR"/>
        </w:rPr>
        <w:t xml:space="preserve">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señores Jueces Graciela Scaraffía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decisorio apelado, disponiendo que se de curso a la ejecución incoada en los términos indicados en los considerandos del presente (arts. 518, 421 y ccs. del CPCC).</w:t>
      </w:r>
    </w:p>
    <w:p>
      <w:pPr>
        <w:pStyle w:val="[Normal]"/>
        <w:spacing w:line="360" w:lineRule="auto"/>
        <w:ind w:firstLine="1134"/>
        <w:jc w:val="both"/>
        <w:rPr>
          <w:b/>
          <w:u w:val="single"/>
          <w:lang w:val="es-AR" w:eastAsia="es-AR" w:bidi="es-AR"/>
        </w:rPr>
      </w:pPr>
      <w:r>
        <w:rPr>
          <w:lang w:val="es-AR" w:eastAsia="es-AR" w:bidi="es-AR"/>
        </w:rPr>
        <w:t xml:space="preserve">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color w:val="000000"/>
          <w:lang w:val="es-AR" w:eastAsia="es-AR" w:bidi="es-AR"/>
        </w:rPr>
      </w:pPr>
    </w:p>
    <w:p>
      <w:pPr>
        <w:pStyle w:val="[Normal]"/>
        <w:spacing w:line="360" w:lineRule="auto"/>
        <w:ind w:firstLine="1134"/>
        <w:rPr>
          <w:color w:val="000000"/>
          <w:lang w:val="es-AR" w:eastAsia="es-AR" w:bidi="es-AR"/>
        </w:rPr>
      </w:pPr>
      <w:r>
        <w:rPr>
          <w:noProof/>
          <w:color w:val="000000"/>
          <w:lang w:val="es-AR" w:eastAsia="es-AR" w:bidi="es-AR"/>
        </w:rPr>
        <w:t xml:space="preserve">27216012491@NOTIFICACIONES.SCBA.GOV.AR</w:t>
      </w: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01/07/2021 08:55:30 -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01/07/2021 09:15:26 -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01/07/2021 10:24:32 -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01/07/2021 11:57:22 -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27216012491@NOTIFICACIONES.SCBA.GOV.AR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‰8@")è%4xOzŠ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243202090005208847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4260 - 21 - PARDO SA  C/ PEÑA DIEGO ROBERTO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‰8@")è%4xOzŠ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243202090005208847</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