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82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464/472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4283-21</w:t>
      </w:r>
      <w:r>
        <w:rPr>
          <w:lang w:val="es-AR" w:eastAsia="es-AR" w:bidi="es-AR"/>
        </w:rPr>
        <w:t xml:space="preserve"> caratulada </w:t>
      </w:r>
      <w:r>
        <w:rPr>
          <w:b/>
          <w:lang w:val="es-AR" w:eastAsia="es-AR" w:bidi="es-AR"/>
        </w:rPr>
        <w:t xml:space="preserve">"</w:t>
      </w:r>
      <w:r>
        <w:rPr>
          <w:b/>
          <w:color w:val="000000"/>
          <w:lang w:val="es-AR" w:eastAsia="es-AR" w:bidi="es-AR"/>
        </w:rPr>
        <w:t xml:space="preserve">LLOP JOSE MARIA C/ DUZDEVICH GRACIELA Y OTROS  S/ DAÑOS Y PERJUICIOS EXTRACONTRACTUAL (EXC. AUTOM./ESTADO)</w:t>
      </w:r>
      <w:r>
        <w:rPr>
          <w:b/>
          <w:lang w:val="es-AR" w:eastAsia="es-AR" w:bidi="es-AR"/>
        </w:rPr>
        <w:t xml:space="preserve">"</w:t>
      </w:r>
      <w:r>
        <w:rPr>
          <w:lang w:val="es-AR" w:eastAsia="es-AR" w:bidi="es-AR"/>
        </w:rPr>
        <w:t xml:space="preserve">, Expte. N° </w:t>
      </w:r>
      <w:r>
        <w:rPr>
          <w:color w:val="000000"/>
          <w:lang w:val="es-AR" w:eastAsia="es-AR" w:bidi="es-AR"/>
        </w:rPr>
        <w:t xml:space="preserve">82056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w:t>
      </w:r>
      <w:r>
        <w:rPr>
          <w:lang w:val="es-AR" w:eastAsia="es-AR" w:bidi="es-AR"/>
        </w:rPr>
        <w:t xml:space="preserve">2,  se practicó el sorteo de ley que determinó que la votación debía efectuarse en el siguiente orden: </w:t>
      </w:r>
      <w:r>
        <w:rPr>
          <w:color w:val="000000"/>
          <w:lang w:val="es-AR" w:eastAsia="es-AR" w:bidi="es-AR"/>
        </w:rPr>
        <w:t xml:space="preserve">BERNARDO LOUISE, ROBERTO DEGLEUE,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Sra. jueza de la instancia anterior, resolvió homologar  en  todas  sus partes, el acuerdo transaccional celebrado entre el actor de autos José María Llop y el codemandado Facundo Pardini, a quien le impuso las  costas  por haberlas asumido en la cláusula 6ta. del mismo. Y, sobre dicha base reguló los honorarios profesionales de la letrada de la parte actora Dra. Mariana Gonzalez Villar por sus trabajos realizados en los obrados en la suma de OCHO CON CINCUENTA Y CINCO JUS ARANCELARIOS (JUS 8.55). Hizo lo mismo respecto  de los letrados de los litisconsortes demandados en las siguientes sumas: para la Dra. Marilina Ferramondo (letrada de Facundo Pardini, Graciela Duzdevich y Fideicomiso Atahualpa -este último en forma conjunta con el Dr. Archilla) en la suma de SIETE Y MEDIO S JUS ARANCELARIOS (7.5 JUS), y los del el Dr. Miguel Archilla (apoderado de Fideicomiso Atahualpa patrocinado por la Dra. Ferramondo) en la suma de UNO Y MEDIO JUS ARANCELARIOS (JUS 1.5).Determinó  asimismo los honorarios del Dr. Ramiro Llan de Rosos (patrocinante del demandado Erquicia) en la suma de TRES JUS ARANCELARIOS ( JUS 3) y los de los Dres. Juan Alberto O´Brien y Nelson Alberto O´Brien, patrocinantes del demandado Ledesma en la cantidad de UN JUS ARANCELARIO Y MEDIO (1,5 JUS) para cada uno de ellos respectivamente. La presente regulación se funda en los arts. 14/16;21;28 y Ccs. de la ley 14967 y en todos los casos deberá adicionarse el porcentaje de le de aportes sobre los honorarios regulados conforme Ley 6716. Reguló además  los honorarios del perito ingeniero civil Martín Torres en la suma de TRES MIL PESOS ($ 3.000.-) , los   de la mediadora prejudicial interviniente Dra. Yanina Daut en la suma de CUATRO MIL PESOS ($ 4.000.-).</w:t>
      </w:r>
    </w:p>
    <w:p>
      <w:pPr>
        <w:pStyle w:val="[Normal]"/>
        <w:spacing w:line="360" w:lineRule="auto"/>
        <w:ind w:firstLine="1134"/>
        <w:jc w:val="both"/>
        <w:rPr>
          <w:lang w:val="es-AR" w:eastAsia="es-AR" w:bidi="es-AR"/>
        </w:rPr>
      </w:pPr>
      <w:r>
        <w:rPr>
          <w:lang w:val="es-AR" w:eastAsia="es-AR" w:bidi="es-AR"/>
        </w:rPr>
        <w:t xml:space="preserve">Por último, prorrateó en los términos del art. 730 del Código Civil y Comercial de la Nación las sumas precedentemente reguladas (teniendo en cuenta que el tope conforme dicha norma alcanza la suma de $ 20.000)  que deberán ser soportadas por el condenado en costas de la siguiente manera: Honorarios de la Dra. Gonzalez Villar (sin perjuicio de lo pactado por las partes, expresamente a su respecto) hasta 3.63 JUS arancelarios, honorarios de la Dra Ferramondo 3 JUS arancelario, honorarios del Dr. Archilla 0.7 JUS arancelario, honorarios del Dr. Llan de Rosos 1.3 JUS ARANCELARIOS; honorarios de los Dres Juan O´Brien y Nelson O´Brien 0.7 jus arancelarios respectivamente para cada uno de ellos; y  honorarios del Perito Martín Torres $ 1.200.</w:t>
      </w:r>
    </w:p>
    <w:p>
      <w:pPr>
        <w:pStyle w:val="[Normal]"/>
        <w:spacing w:line="360" w:lineRule="auto"/>
        <w:ind w:firstLine="1134"/>
        <w:jc w:val="both"/>
        <w:rPr>
          <w:lang w:val="es-AR" w:eastAsia="es-AR" w:bidi="es-AR"/>
        </w:rPr>
      </w:pPr>
      <w:r>
        <w:rPr>
          <w:lang w:val="es-AR" w:eastAsia="es-AR" w:bidi="es-AR"/>
        </w:rPr>
        <w:t xml:space="preserve">Lo allí decidido, fue motivo de apelación por el Dr.  Juan Alberto  O’Brien Araujo por si ( patrocinante del Dr. Nelson A. O´Brien   ) en fecha 14 / 12 / 20202. Sostiene, el que Sr. Pardini  por acuerdo transaccional, se hizo cargo de las costas del proceso sin reserva ni limitación alguna, de lo que resulta la inexistencia de motivos que justifiquen el apartamiento de la categórica manda legal del art. 22 del Decreto Ley 8904 que fija el mínimo legal de los honorarios profesionales regulados judicialmente en la suma de cuatro (4) unidades arancelarias (jus). Por ello dice que corresponde  se regulen los honorarios de los profesionales intervinientes conforme la ley y luego, incrementar los que correspondan según labor desarrollada, prorrateando el excedente de aquellos conforme porcentaje total de honorarios estimados con arreglo al art. 21 de la norma arancelaria.</w:t>
      </w:r>
    </w:p>
    <w:p>
      <w:pPr>
        <w:pStyle w:val="[Normal]"/>
        <w:spacing w:line="360" w:lineRule="auto"/>
        <w:ind w:firstLine="1134"/>
        <w:jc w:val="both"/>
        <w:rPr>
          <w:lang w:val="es-AR" w:eastAsia="es-AR" w:bidi="es-AR"/>
        </w:rPr>
      </w:pPr>
      <w:r>
        <w:rPr>
          <w:lang w:val="es-AR" w:eastAsia="es-AR" w:bidi="es-AR"/>
        </w:rPr>
        <w:t xml:space="preserve">Destaca que lo injustificado  de la regulación de honorarios  se evidencia, cuando la suma que resulta percibir, no cubre los gastos de generación y percepción de la misma, por lo que solicita la revocación del auto atacado.</w:t>
      </w:r>
    </w:p>
    <w:p>
      <w:pPr>
        <w:pStyle w:val="[Normal]"/>
        <w:spacing w:line="360" w:lineRule="auto"/>
        <w:ind w:firstLine="1134"/>
        <w:jc w:val="both"/>
        <w:rPr>
          <w:lang w:val="es-AR" w:eastAsia="es-AR" w:bidi="es-AR"/>
        </w:rPr>
      </w:pPr>
      <w:r>
        <w:rPr>
          <w:lang w:val="es-AR" w:eastAsia="es-AR" w:bidi="es-AR"/>
        </w:rPr>
        <w:t xml:space="preserve">En fecha 15 / 12 / 20202, El Dr. Nelson Alberto O’Brien ( apoderado del codemandado Gabriel H. Ledesma ) también deduce recurso de apelación contra la providencia que puso fin al proceso, en punto al monto de los honorarios que se le regularon, en los mismos términos y fundamentos del Dr. Juan Alberto  O’Brien, Araujo a los que me remito por razones de economía procesal.</w:t>
      </w:r>
    </w:p>
    <w:p>
      <w:pPr>
        <w:pStyle w:val="[Normal]"/>
        <w:spacing w:line="360" w:lineRule="auto"/>
        <w:ind w:firstLine="1134"/>
        <w:jc w:val="both"/>
        <w:rPr>
          <w:lang w:val="es-AR" w:eastAsia="es-AR" w:bidi="es-AR"/>
        </w:rPr>
      </w:pPr>
      <w:r>
        <w:rPr>
          <w:lang w:val="es-AR" w:eastAsia="es-AR" w:bidi="es-AR"/>
        </w:rPr>
        <w:t xml:space="preserve">Seguidamente, en fecha 15 / 12 / 2020, se presenta el codemandado Facundo Pardini, quien también recurre la providencia dictada, en tanto le impuso las costas del proceso lo que le causa un perjuicio irreparable y expresa que con anterioridad al auto atacado ( 29 / 10 / 2020 ) dejó aclarado que sólo asumiría las costas en relación a los honorarios de la Letrada de la parte actora. </w:t>
      </w:r>
    </w:p>
    <w:p>
      <w:pPr>
        <w:pStyle w:val="[Normal]"/>
        <w:spacing w:line="360" w:lineRule="auto"/>
        <w:ind w:firstLine="1134"/>
        <w:jc w:val="both"/>
        <w:rPr>
          <w:lang w:val="es-AR" w:eastAsia="es-AR" w:bidi="es-AR"/>
        </w:rPr>
      </w:pPr>
      <w:r>
        <w:rPr>
          <w:lang w:val="es-AR" w:eastAsia="es-AR" w:bidi="es-AR"/>
        </w:rPr>
        <w:t xml:space="preserve">Dice  además, que no es lógico que sea él, quien asuma los costos de la defensa de los restantes codemandados, quienes fueron traídos al proceso por la responsabilidad derivada del ejercicio profesional por lo que peticiona se revoque el auto atacado.</w:t>
      </w:r>
    </w:p>
    <w:p>
      <w:pPr>
        <w:pStyle w:val="[Normal]"/>
        <w:spacing w:line="360" w:lineRule="auto"/>
        <w:ind w:firstLine="1134"/>
        <w:jc w:val="both"/>
        <w:rPr>
          <w:lang w:val="es-AR" w:eastAsia="es-AR" w:bidi="es-AR"/>
        </w:rPr>
      </w:pPr>
      <w:r>
        <w:rPr>
          <w:lang w:val="es-AR" w:eastAsia="es-AR" w:bidi="es-AR"/>
        </w:rPr>
        <w:t xml:space="preserve">Estos agravios, son respondidos, en fecha 20 / 04 / 2020 por el codemandado Gerardo Erquicia, patrocinado por el Dr. Ramiro Juan Llan de Rosos, quien  propicia la desestimación del recurso.</w:t>
      </w:r>
    </w:p>
    <w:p>
      <w:pPr>
        <w:pStyle w:val="[Normal]"/>
        <w:spacing w:line="360" w:lineRule="auto"/>
        <w:ind w:firstLine="1134"/>
        <w:jc w:val="both"/>
        <w:rPr>
          <w:lang w:val="es-AR" w:eastAsia="es-AR" w:bidi="es-AR"/>
        </w:rPr>
      </w:pPr>
      <w:r>
        <w:rPr>
          <w:lang w:val="es-AR" w:eastAsia="es-AR" w:bidi="es-AR"/>
        </w:rPr>
        <w:t xml:space="preserve">Considera que la pieza recursiva, no  satisface las exigencias legales por cuanto no se erige  en una crítica razonada, sino que es una mera disconformidad con lo resuelto en materia de costas cuando él mismo las asumió en el momento de la transacción.</w:t>
      </w:r>
    </w:p>
    <w:p>
      <w:pPr>
        <w:pStyle w:val="[Normal]"/>
        <w:spacing w:line="360" w:lineRule="auto"/>
        <w:ind w:firstLine="1134"/>
        <w:jc w:val="both"/>
        <w:rPr>
          <w:lang w:val="es-AR" w:eastAsia="es-AR" w:bidi="es-AR"/>
        </w:rPr>
      </w:pPr>
      <w:r>
        <w:rPr>
          <w:lang w:val="es-AR" w:eastAsia="es-AR" w:bidi="es-AR"/>
        </w:rPr>
        <w:t xml:space="preserve">Insiste en que el recurso interpuesto debe ser desestimado por cuanto los agravios son disidencias a lo resuelto por el a-quo sin demostrar la errónea aplicación de las normas y finalmente manifiesta que la imposición de las costas lo fue conforme los términos del acuerdo que el mismo apelante  suscribió por lo que no puede agraviarse cuando se dio fiel cumplimiento a dicho acuerdo.</w:t>
      </w:r>
    </w:p>
    <w:p>
      <w:pPr>
        <w:pStyle w:val="[Normal]"/>
        <w:spacing w:line="360" w:lineRule="auto"/>
        <w:ind w:firstLine="1134"/>
        <w:jc w:val="both"/>
        <w:rPr>
          <w:lang w:val="es-AR" w:eastAsia="es-AR" w:bidi="es-AR"/>
        </w:rPr>
      </w:pPr>
      <w:r>
        <w:rPr>
          <w:lang w:val="es-AR" w:eastAsia="es-AR" w:bidi="es-AR"/>
        </w:rPr>
        <w:t xml:space="preserve">Elevados los autos a esta Alzada, en fecha 08 / 06 2021 se llaman los autos a resolver, providencia que firme a la fecha deja a la causa en condiciones de ser resueltas.</w:t>
      </w:r>
    </w:p>
    <w:p>
      <w:pPr>
        <w:pStyle w:val="[Normal]"/>
        <w:spacing w:line="360" w:lineRule="auto"/>
        <w:ind w:firstLine="1134"/>
        <w:jc w:val="both"/>
        <w:rPr>
          <w:lang w:val="es-AR" w:eastAsia="es-AR" w:bidi="es-AR"/>
        </w:rPr>
      </w:pPr>
      <w:r>
        <w:rPr>
          <w:b/>
          <w:lang w:val="es-AR" w:eastAsia="es-AR" w:bidi="es-AR"/>
        </w:rPr>
        <w:t xml:space="preserve">Ya en tarea</w:t>
      </w:r>
      <w:r>
        <w:rPr>
          <w:lang w:val="es-AR" w:eastAsia="es-AR" w:bidi="es-AR"/>
        </w:rPr>
        <w:t xml:space="preserve">, luego de ponderar los antecedentes que la informan, los términos del acuerdo transaccional, los de la sentencia homologatoria y los recursos interpuestos, adelanto la opinión que no llevan razón los apelantes.</w:t>
      </w:r>
    </w:p>
    <w:p>
      <w:pPr>
        <w:pStyle w:val="[Normal]"/>
        <w:spacing w:line="360" w:lineRule="auto"/>
        <w:ind w:firstLine="1134"/>
        <w:jc w:val="both"/>
        <w:rPr>
          <w:lang w:val="es-AR" w:eastAsia="es-AR" w:bidi="es-AR"/>
        </w:rPr>
      </w:pPr>
      <w:r>
        <w:rPr>
          <w:b/>
          <w:lang w:val="es-AR" w:eastAsia="es-AR" w:bidi="es-AR"/>
        </w:rPr>
        <w:t xml:space="preserve">a ) </w:t>
      </w:r>
      <w:r>
        <w:rPr>
          <w:lang w:val="es-AR" w:eastAsia="es-AR" w:bidi="es-AR"/>
        </w:rPr>
        <w:t xml:space="preserve">Primeramente he de tratar la imposición de las costas para luego resolver los recursos de los Letrados agraviados por el monto de los honorarios que se le regularon.</w:t>
      </w:r>
    </w:p>
    <w:p>
      <w:pPr>
        <w:pStyle w:val="[Normal]"/>
        <w:spacing w:line="360" w:lineRule="auto"/>
        <w:ind w:firstLine="1134"/>
        <w:jc w:val="both"/>
        <w:rPr>
          <w:lang w:val="es-AR" w:eastAsia="es-AR" w:bidi="es-AR"/>
        </w:rPr>
      </w:pPr>
      <w:r>
        <w:rPr>
          <w:lang w:val="es-AR" w:eastAsia="es-AR" w:bidi="es-AR"/>
        </w:rPr>
        <w:t xml:space="preserve">En las presentes actuaciones, el actor de autos José María Llop, patrocinado  por la Dra. María I. Gonzalez Villar, pretende la indemnización de los daños y perjuicios sufridos en su propiedad como consecuencia  de la construcción lindera a su domicilio de un edificio y a tal fin demanda a la Sra. Graciela Lujan Duzdevich, Facundo Pardini, Fideicomiso " Atahualpa", Gerardo Erquicia y Héctor G. Ledesma.</w:t>
      </w:r>
    </w:p>
    <w:p>
      <w:pPr>
        <w:pStyle w:val="[Normal]"/>
        <w:spacing w:line="360" w:lineRule="auto"/>
        <w:ind w:firstLine="1134"/>
        <w:jc w:val="both"/>
        <w:rPr>
          <w:lang w:val="es-AR" w:eastAsia="es-AR" w:bidi="es-AR"/>
        </w:rPr>
      </w:pPr>
      <w:r>
        <w:rPr>
          <w:lang w:val="es-AR" w:eastAsia="es-AR" w:bidi="es-AR"/>
        </w:rPr>
        <w:t xml:space="preserve">Trabada la litis, recibida la causa a prueba, se presenta el actor de autos conjuntamente con el codemandado Facundo Pardini y denuncian que han arribado a un acuerdo transaccional  por el cual  ponen fin a todas las cuestiones litigiosas. Determinan el daño en la suma de $ 80.000 ( cláusula 2° ), la forma del pago ( cláusula 3° ) y  finalmente en la cláusula sexta expresan que  "... </w:t>
      </w:r>
      <w:r>
        <w:rPr>
          <w:i/>
          <w:lang w:val="es-AR" w:eastAsia="es-AR" w:bidi="es-AR"/>
        </w:rPr>
        <w:t xml:space="preserve">las partes acuerdan que las costas del proceso serán soportadas por el Sr. Facundo Pardini</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Luego de ello, en fecha 29 / 10 / 2020, se presenta la Dra. Marilina Ferramondo patrocinante del codemandado Facundo Pardini y aclara que su parte sólo asume el pago en concepto de costas solamente los honorarios de la letrada de la parte actora con quien suscribió el acuerdo y que no se hará cargo del pago de las defensas de los restantes codemandos.</w:t>
      </w:r>
    </w:p>
    <w:p>
      <w:pPr>
        <w:pStyle w:val="[Normal]"/>
        <w:spacing w:line="360" w:lineRule="auto"/>
        <w:ind w:firstLine="1134"/>
        <w:jc w:val="both"/>
        <w:rPr>
          <w:lang w:val="es-AR" w:eastAsia="es-AR" w:bidi="es-AR"/>
        </w:rPr>
      </w:pPr>
      <w:r>
        <w:rPr>
          <w:lang w:val="es-AR" w:eastAsia="es-AR" w:bidi="es-AR"/>
        </w:rPr>
        <w:t xml:space="preserve">Ello, es rechazado por el Dr. Ramiro Juan Llan de Rosos, quien expresa que su parte consintió el acuerdo oportunamente denunciado, por lo que mal puede pretenderse modificarse de modo unilateral, máxime que su parte al momento del responde de la demanda dejó aclarado que las costas se le impongan a la actora o a quien en definitiva se condene.</w:t>
      </w:r>
    </w:p>
    <w:p>
      <w:pPr>
        <w:pStyle w:val="[Normal]"/>
        <w:spacing w:line="360" w:lineRule="auto"/>
        <w:ind w:firstLine="1134"/>
        <w:jc w:val="both"/>
        <w:rPr>
          <w:lang w:val="es-AR" w:eastAsia="es-AR" w:bidi="es-AR"/>
        </w:rPr>
      </w:pPr>
      <w:r>
        <w:rPr>
          <w:lang w:val="es-AR" w:eastAsia="es-AR" w:bidi="es-AR"/>
        </w:rPr>
        <w:t xml:space="preserve">Tal pretensión es desestimada por la Dra. María Inés Gonzalez Villar ( Patrocinante del actor de autos ), en cuanto aquél peticionara que las costas se le impongan al actor, en el entendimiento que por los hechos denunciados en demanda por el art. 1277 CCC., su parte estaba facultada para demandarlo.</w:t>
      </w:r>
    </w:p>
    <w:p>
      <w:pPr>
        <w:pStyle w:val="[Normal]"/>
        <w:spacing w:line="360" w:lineRule="auto"/>
        <w:ind w:firstLine="1134"/>
        <w:jc w:val="both"/>
        <w:rPr>
          <w:lang w:val="es-AR" w:eastAsia="es-AR" w:bidi="es-AR"/>
        </w:rPr>
      </w:pPr>
      <w:r>
        <w:rPr>
          <w:lang w:val="es-AR" w:eastAsia="es-AR" w:bidi="es-AR"/>
        </w:rPr>
        <w:t xml:space="preserve">Sin perjuicio de ello, dice además que el acuerdo que pone fin al proceso los beneficia a todos los codemandados que no han firmado el acuerdo, por lo tanto excepto sus honorarios que fueron pactados con el Sr. Pardini, las costas de conformidad a lo dispuesto por el art. 73 del CPC., se deben imponer en el orden causado.</w:t>
      </w:r>
    </w:p>
    <w:p>
      <w:pPr>
        <w:pStyle w:val="[Normal]"/>
        <w:spacing w:line="360" w:lineRule="auto"/>
        <w:ind w:firstLine="1134"/>
        <w:jc w:val="both"/>
        <w:rPr>
          <w:lang w:val="es-AR" w:eastAsia="es-AR" w:bidi="es-AR"/>
        </w:rPr>
      </w:pPr>
      <w:r>
        <w:rPr>
          <w:lang w:val="es-AR" w:eastAsia="es-AR" w:bidi="es-AR"/>
        </w:rPr>
        <w:t xml:space="preserve">En fecha 10 / 11 / 2020, la Letrada Marilina Ferramondo se opone también a lo planteado por el Dr. Llan de Rosos en similares términos de la Dra. Gonzalez Villar.</w:t>
      </w:r>
    </w:p>
    <w:p>
      <w:pPr>
        <w:pStyle w:val="[Normal]"/>
        <w:spacing w:line="360" w:lineRule="auto"/>
        <w:ind w:firstLine="1134"/>
        <w:jc w:val="both"/>
        <w:rPr>
          <w:lang w:val="es-AR" w:eastAsia="es-AR" w:bidi="es-AR"/>
        </w:rPr>
      </w:pPr>
      <w:r>
        <w:rPr>
          <w:lang w:val="es-AR" w:eastAsia="es-AR" w:bidi="es-AR"/>
        </w:rPr>
        <w:t xml:space="preserve">La Sra, jueza para resolver como lo hizo,  consideró  que de acuerdo al modo de finalizar el proceso en relación a las costas  el artículo 73 del CPC establece que "si el juicio terminase por transacción o conciliación, las costas serán impuestas en el orden causado", pero agrega la misma norma  exceptúa en todos los casos, lo que pudieren acordar las partes en contrario.</w:t>
      </w:r>
    </w:p>
    <w:p>
      <w:pPr>
        <w:pStyle w:val="[Normal]"/>
        <w:spacing w:line="360" w:lineRule="auto"/>
        <w:ind w:firstLine="1134"/>
        <w:jc w:val="both"/>
        <w:rPr>
          <w:lang w:val="es-AR" w:eastAsia="es-AR" w:bidi="es-AR"/>
        </w:rPr>
      </w:pPr>
      <w:r>
        <w:rPr>
          <w:lang w:val="es-AR" w:eastAsia="es-AR" w:bidi="es-AR"/>
        </w:rPr>
        <w:t xml:space="preserve">Entiende que  la transacción es un contrato y vinculante para las partes y que  los efectos indirectos   se producen respecto de todos los terceros a quienes es oponible y por quienes resulta invocable, por ello  lo pactado expresamente en el acuerdo transaccional  fue "que las costas del proceso serán soportada por el Sr. Facundo Pardini.", sin hacer salvedad ni distinción alguna, siendo que el concepto de costas lo da el art. 77 del CPC, que refiere a todos los gastos causados por la sustanciación del proceso.</w:t>
      </w:r>
    </w:p>
    <w:p>
      <w:pPr>
        <w:pStyle w:val="[Normal]"/>
        <w:spacing w:line="360" w:lineRule="auto"/>
        <w:ind w:firstLine="1134"/>
        <w:jc w:val="both"/>
        <w:rPr>
          <w:lang w:val="es-AR" w:eastAsia="es-AR" w:bidi="es-AR"/>
        </w:rPr>
      </w:pPr>
      <w:r>
        <w:rPr>
          <w:lang w:val="es-AR" w:eastAsia="es-AR" w:bidi="es-AR"/>
        </w:rPr>
        <w:t xml:space="preserve"> Dijo además que Pardini  asumió   las costas (todos los gastos) y no puede  volver  contra sus propios actos y así  pretender abonar solamente unos y no otros y lo decidido lo sostuvo con citas de doctrina y jurisprudencia.</w:t>
      </w:r>
    </w:p>
    <w:p>
      <w:pPr>
        <w:pStyle w:val="[Normal]"/>
        <w:spacing w:line="360" w:lineRule="auto"/>
        <w:ind w:firstLine="1134"/>
        <w:jc w:val="both"/>
        <w:rPr>
          <w:lang w:val="es-AR" w:eastAsia="es-AR" w:bidi="es-AR"/>
        </w:rPr>
      </w:pPr>
      <w:r>
        <w:rPr>
          <w:lang w:val="es-AR" w:eastAsia="es-AR" w:bidi="es-AR"/>
        </w:rPr>
        <w:t xml:space="preserve">   </w:t>
      </w:r>
      <w:r>
        <w:rPr>
          <w:b/>
          <w:lang w:val="es-AR" w:eastAsia="es-AR" w:bidi="es-AR"/>
        </w:rPr>
        <w:t xml:space="preserve"> </w:t>
      </w:r>
      <w:r>
        <w:rPr>
          <w:lang w:val="es-AR" w:eastAsia="es-AR" w:bidi="es-AR"/>
        </w:rPr>
        <w:t xml:space="preserve">Los sólidos argumentos expuestos por la sentenciante de grado, no han sido atacados de modo crítico  ( art. 260 CPC.) deviniendo los agravios en una reiteración de las salvedades que se manifestaron con posterioridad a la presentación del acuerdo y una disconformidad subjetiva del modo en que se resolvió.</w:t>
      </w:r>
    </w:p>
    <w:p>
      <w:pPr>
        <w:pStyle w:val="[Normal]"/>
        <w:spacing w:line="360" w:lineRule="auto"/>
        <w:ind w:firstLine="1134"/>
        <w:jc w:val="both"/>
        <w:rPr>
          <w:lang w:val="es-AR" w:eastAsia="es-AR" w:bidi="es-AR"/>
        </w:rPr>
      </w:pPr>
      <w:r>
        <w:rPr>
          <w:lang w:val="es-AR" w:eastAsia="es-AR" w:bidi="es-AR"/>
        </w:rPr>
        <w:t xml:space="preserve">Así, desde este mirar   cabe acudir al voto del Dr. Degleue en la causa N° 3931-20. En dicho precedente, el citado magistrado  recurrió a un excelente y conciso trabajo doctrinario efectuado hace poco tiempo por el prestigioso jurista Jorge W. Peyrano, titulado "Herramientas que agilizan el funcionamiento de la segunda instancia civil" (Doctrina Rubinzal Culzoni, Cita: RC D 2954/2020).</w:t>
      </w:r>
    </w:p>
    <w:p>
      <w:pPr>
        <w:pStyle w:val="[Normal]"/>
        <w:spacing w:line="360" w:lineRule="auto"/>
        <w:ind w:firstLine="1134"/>
        <w:jc w:val="both"/>
        <w:rPr>
          <w:lang w:val="es-AR" w:eastAsia="es-AR" w:bidi="es-AR"/>
        </w:rPr>
      </w:pPr>
      <w:r>
        <w:rPr>
          <w:lang w:val="es-AR" w:eastAsia="es-AR" w:bidi="es-AR"/>
        </w:rPr>
        <w:t xml:space="preserve">En el mismo, el autor analiza el funcionamiento de la segunda instancia en sede civil haciendo especial hincapié en el instituto de la "confirmación de la sentencia apelada por sus fundamentos", señalando que: "Cierto es que la fundamentación de las sentencias (también las de segunda instancia) es una exigencia del régimen republicano, y una garantía para los habitantes ya que pueden controlar los actos de los magistrados. Pero igualmente lo es que no se reclama, que dicha fundamentación de la sentencia en sede civil (de la instancia que fuere) sea necesariamente "autónoma" y distinta de la utilizada por el a quo. Pensamos que la "confirmación por sus fundamentos" puede llegar a constituir un factor de dinamización de los trámites (habitualmente dilatados en el tiempo) correspondientes a la segunda instancia. Debe traerse a cuento que los viejos repertorios jurisprudenciales eran pródigos en "confirmaciones por los fundamentos", sin escándalo para nadie y, generalmente con provecho para todos. Por supuesto que el camino indicado es una vía posible que no siempre estará abierta. Pero lo que nos parece inaceptable es, apriorísticamente, negarle toda chance de erigirse en un válido medio de dirimir prontamente planteos llegados a la Alzada a través, vg., de un accionar recursivo querulómano o fruto de tácticas meramente dilatorias. Obviamente, no se trata de un mecanismo utilizable a destajo, sino de manera excepcional. Así las cosas, si bien una corriente de opinión sigue considerando que, invariablemente, la "confirmación por sus fundamentos" de la sentencia de primera instancia constituye una infracción del deber de fundamentación no parece que ello deba, fatalmente, ser así en todos los casos. Es que representa un atentado contra el principio de economía procesal  forzar a la Alzada a repetir la misma motivación formulada por el a quo pero con otras palabras o a inventar nuevos argumentos con escasas ideas en los reales antecedentes de la causa"... Como bien lo señala el Dr. Peyrano, "... en algún antiguo precedente del tribunal cimero nacional optó por una posición menos rígida...", en el que precisamente se sostuviera que: "... la sola remisión de la sentencia a los fundamentos de primera instancia, no es por si sola impugnable desde el punto de vista constitucional, ya que se trata de una de las formas posibles autorizadas por las normas procesales, habida cuenta que la segunda instancia judicial no es requisito establecido por la Constitución. No es arbitraria la sentencia que contiene fundamentos legales, se remite a la extensamente fundada sentencia de primera instancia, a la cual considera acorde a la doctrina y jurisprudencia imperantes y hace remisión a la respuesta que se postula en autos contra las impugnaciones que la recurrente expuso en contra de la sentencia de primera instancia (La Ley 98, 699 - 4343-S)".</w:t>
      </w:r>
    </w:p>
    <w:p>
      <w:pPr>
        <w:pStyle w:val="[Normal]"/>
        <w:spacing w:line="360" w:lineRule="auto"/>
        <w:ind w:firstLine="1134"/>
        <w:jc w:val="both"/>
        <w:rPr>
          <w:lang w:val="es-AR" w:eastAsia="es-AR" w:bidi="es-AR"/>
        </w:rPr>
      </w:pPr>
      <w:r>
        <w:rPr>
          <w:lang w:val="es-AR" w:eastAsia="es-AR" w:bidi="es-AR"/>
        </w:rPr>
        <w:t xml:space="preserve">Recapitulando, cabe reafirmar la necesidad de motivar las resoluciones judiciales, lo que amén de un imperativo institucional del sistema republicano de gobierno que hace a la posibilidad de control de los actos de uno de los poderes del Estado y eventualmente a la efectivización de la responsabilidad de los agentes que lo integran, es también una garantía de los justiciables en cuanto posibilita la revisión de lo resuelto en una instancia superior, mediante los recursos ordinarios o extraordinarias de que se disponga, haciendo factible al justiciable, la crítica del fallo que lo perjudica (art. 18 y 75 inc. 23 de la CN, y art. 8.2.h. de la CADDHH). 	</w:t>
      </w:r>
    </w:p>
    <w:p>
      <w:pPr>
        <w:pStyle w:val="[Normal]"/>
        <w:spacing w:line="360" w:lineRule="auto"/>
        <w:ind w:firstLine="1134"/>
        <w:jc w:val="both"/>
        <w:rPr>
          <w:lang w:val="es-AR" w:eastAsia="es-AR" w:bidi="es-AR"/>
        </w:rPr>
      </w:pPr>
      <w:r>
        <w:rPr>
          <w:lang w:val="es-AR" w:eastAsia="es-AR" w:bidi="es-AR"/>
        </w:rPr>
        <w:t xml:space="preserve">Esta garantía constitucional y convencional reclama que las sentencias sean fundadas y constituyan una derivación razonada del derecho vigente con aplicación de las circunstancias comprobadas de la causa.	En tal dirección, el Código Iberoamericano de Etica Judicial recuerda que en el Estado de derecho al juez se le exige que se esfuerce por encontrar la solución justa y conforme a derecho para el caso jurídico que está bajo su competencia. Al respecto, reza la mentada norma deontológica que: “La obligación de motivar las decisiones se orienta a asegurar la legitimidad del juez, el buen funcionamiento de un sistema de impugnaciones judiciales, el adecuado control del poder del que los jueces son titulares y, en último término, la justicia de las resoluciones judiciales” (…) “Motivar supone expresar, de manera ordenada y clara, razones jurídicamente válidas aptas para justificar la decisión”. Estas exigencias revisten vital importancia, por cuanto implican la recepción de máximas y mandas constitucionales que trasuntan estándares básicos para evaluar la validez intrínseca de una sentencia judicial.	</w:t>
      </w:r>
    </w:p>
    <w:p>
      <w:pPr>
        <w:pStyle w:val="[Normal]"/>
        <w:spacing w:line="360" w:lineRule="auto"/>
        <w:ind w:firstLine="1134"/>
        <w:jc w:val="both"/>
        <w:rPr>
          <w:lang w:val="es-AR" w:eastAsia="es-AR" w:bidi="es-AR"/>
        </w:rPr>
      </w:pPr>
      <w:r>
        <w:rPr>
          <w:lang w:val="es-AR" w:eastAsia="es-AR" w:bidi="es-AR"/>
        </w:rPr>
        <w:t xml:space="preserve"> 	Ahora bien, la forma en que ha de desplegarse tal motivación no ha de ser necesariamente unívoca, habida cuenta de que la suficiencia en la fundamentación de un fallo puede alcanzarse tanto mediante la presentación de nuevos argumentos cualitativamente diferentes a los empleados en la instancia de grado como mediante confirmación o reconsideración positiva de las argumentaciones oportunamente vertidas por el aquo en sustento de su decisión fondal, siempre y cuando el órgano revisor estime que aquellas razones se autoabastecen para dejar sin efecto la expresión de agravios y no meramente para desestimar la pretensión o defensa (según el recurrente sea el actor o demandado respectivamente) rechazada en la sentencia que fuera objeto de apelación. 	 	 </w:t>
      </w:r>
    </w:p>
    <w:p>
      <w:pPr>
        <w:pStyle w:val="[Normal]"/>
        <w:spacing w:line="360" w:lineRule="auto"/>
        <w:ind w:firstLine="1134"/>
        <w:jc w:val="both"/>
        <w:rPr>
          <w:lang w:val="es-AR" w:eastAsia="es-AR" w:bidi="es-AR"/>
        </w:rPr>
      </w:pPr>
      <w:r>
        <w:rPr>
          <w:lang w:val="es-AR" w:eastAsia="es-AR" w:bidi="es-AR"/>
        </w:rPr>
        <w:t xml:space="preserve">Desde el punto de vista del control de logicidad de la sentencia judicial, tampoco habría óbice alguno para que el magistrado de segunda instancia pueda valerse de los fundamentos dados en la instancia originaria en sustento de su voto. Es que el principio lógico de razón suficiente, como variante específica del principio de razonabilidad, tan sólo requiere la necesidad de motivación de las sentencias judiciales, más no le impone al órgano revisor el deber de innovar en la fundamentación argumentativa del decisorio que resuelve la apelación ( Cf. MOREA, Adrián Oscar, El control de logicidad de los actos procesales. Publicado en: SJA 31/07/2019, 31/07/2019, 3. Cita Online: AR/DOC/1570/2019 ).	</w:t>
      </w:r>
    </w:p>
    <w:p>
      <w:pPr>
        <w:pStyle w:val="[Normal]"/>
        <w:spacing w:line="360" w:lineRule="auto"/>
        <w:ind w:firstLine="1134"/>
        <w:jc w:val="both"/>
        <w:rPr>
          <w:lang w:val="es-AR" w:eastAsia="es-AR" w:bidi="es-AR"/>
        </w:rPr>
      </w:pPr>
      <w:r>
        <w:rPr>
          <w:lang w:val="es-AR" w:eastAsia="es-AR" w:bidi="es-AR"/>
        </w:rPr>
        <w:t xml:space="preserve"> 	En definitiva, la posibilidad de los magistrados de segunda instancia para confirmar la sentencia del primer estrado compartiendo los fundamentos de la resolución apelada, es una consecuencia lógica de la libertad argumentativa con que cuentan los jueces para fundar sus decisiones. Este margen de discrecionalidad motivacional presenta un aspecto positivo y otro negativo. El primero, más evidente y conocido, se traduce en la necesaria libertad del órgano revisor para subsumir los hechos alegados y probados por las partes dentro de las previsiones normativas que rijan el caso, aún cuando los litigantes hubieran invocado la aplicabilidad de otras disposiciones y aún cuando el juez de la instancia originaria hubiese fundado la decisión apelada a través de otro carril argumentativo (ROCCO, Alfredo, “La sentencia civil”, traducción de Mariano Ovejero,  Buenos Aires 2003, Editorial El Foro, página 185). Es decir, los magistrados de instancias superiores en lo civil y comercial son soberanos en cuanto a la elección de la fundamentación jurídica de sus fallos dentro de los límites fácticos establecidos por las partes en sus escritos postulatorios de demanda, contestación y apelación respectiva (PEYRANO, Jorge W., Sobre la libertad de argumentacion de los jueces al  momento de dictar sentencia, presentado en Posgrado de Especialización para la Magistratura de la Facultad de Derecho de Rosario de la Pontificia Universidad Católica Argentina).... En virtud de ello, no cabe establecer un monopolio metodológico respecto a la operatoria de fundamentación de la sentencia, toda vez que el único límite constitucional que condiciona la validez de una resolución judicial definitiva es la razonabilidad y suficiencia de la motivación (arts. 1, 18, 28, 33, 75 inc. 22 de la CN y art. 3 del CCyC) y no una determinada forma, modalidad o molde a través de la cual ésta debe expresarse..." ( cfr.  caratulados "Consorcio Prop. Cdad. Dep. Club  Sirio  Libanes   c/ Lentochnik  Fabián  Adolfo  y Otro s/ Cobro  Eejecutivo de Expensas ".</w:t>
      </w:r>
    </w:p>
    <w:p>
      <w:pPr>
        <w:pStyle w:val="[Normal]"/>
        <w:spacing w:line="360" w:lineRule="auto"/>
        <w:ind w:firstLine="1134"/>
        <w:jc w:val="both"/>
        <w:rPr>
          <w:lang w:val="es-AR" w:eastAsia="es-AR" w:bidi="es-AR"/>
        </w:rPr>
      </w:pPr>
      <w:r>
        <w:rPr>
          <w:lang w:val="es-AR" w:eastAsia="es-AR" w:bidi="es-AR"/>
        </w:rPr>
        <w:t xml:space="preserve">Entonces, con los argumentos expuestos por la sentenciante de grado alcanza para fundamentar la confirmación del fallo y  a todo</w:t>
      </w:r>
      <w:r>
        <w:rPr>
          <w:b/>
          <w:lang w:val="es-AR" w:eastAsia="es-AR" w:bidi="es-AR"/>
        </w:rPr>
        <w:t xml:space="preserve"> </w:t>
      </w:r>
      <w:r>
        <w:rPr>
          <w:lang w:val="es-AR" w:eastAsia="es-AR" w:bidi="es-AR"/>
        </w:rPr>
        <w:t xml:space="preserve"> evento cabe decir que los argumentos de la sentencia de grado, esto es la interpretación literalidad del contrato de transacción, por el cual el Sr. Pardini asumió el pago de la totalidad de las costas ( todos los gastos ), la teoría de los actos propios, esto importa no poder volver sobre sus propios pasos jurídicamente relevantes, no han sido atacados o criticados en  los términos del  art. 260 del CPC.</w:t>
      </w:r>
    </w:p>
    <w:p>
      <w:pPr>
        <w:pStyle w:val="[Normal]"/>
        <w:spacing w:line="360" w:lineRule="auto"/>
        <w:ind w:firstLine="1134"/>
        <w:jc w:val="both"/>
        <w:rPr>
          <w:lang w:val="es-AR" w:eastAsia="es-AR" w:bidi="es-AR"/>
        </w:rPr>
      </w:pPr>
      <w:r>
        <w:rPr>
          <w:lang w:val="es-AR" w:eastAsia="es-AR" w:bidi="es-AR"/>
        </w:rPr>
        <w:t xml:space="preserve">A mayor abundamiento</w:t>
      </w:r>
      <w:r>
        <w:rPr>
          <w:b/>
          <w:lang w:val="es-AR" w:eastAsia="es-AR" w:bidi="es-AR"/>
        </w:rPr>
        <w:t xml:space="preserve">,</w:t>
      </w:r>
      <w:r>
        <w:rPr>
          <w:lang w:val="es-AR" w:eastAsia="es-AR" w:bidi="es-AR"/>
        </w:rPr>
        <w:t xml:space="preserve"> ober dictum, debo decir que la actitud del codemandado apelante, que la Sra. Jueza la aprehendió dentro de la teoría de los actos propios que impide  conductas duales como la pretendida al firmar un contrato,  esto es presentar un acuerdo  para lograr su homologación y con ello sus efectos jurídicos   y luego desdecirse en uno de sus artículos importa una dualidad que  es inadmisible en derecho y además contradice la conducta que las partes deben tener en el proceso judicial  en el que rige el principio de la buena fe procesal.</w:t>
      </w:r>
    </w:p>
    <w:p>
      <w:pPr>
        <w:pStyle w:val="[Normal]"/>
        <w:spacing w:line="360" w:lineRule="auto"/>
        <w:ind w:firstLine="1134"/>
        <w:jc w:val="both"/>
        <w:rPr>
          <w:lang w:val="es-AR" w:eastAsia="es-AR" w:bidi="es-AR"/>
        </w:rPr>
      </w:pPr>
      <w:r>
        <w:rPr>
          <w:lang w:val="es-AR" w:eastAsia="es-AR" w:bidi="es-AR"/>
        </w:rPr>
        <w:t xml:space="preserve">"...  </w:t>
      </w:r>
      <w:r>
        <w:rPr>
          <w:i/>
          <w:lang w:val="es-AR" w:eastAsia="es-AR" w:bidi="es-AR"/>
        </w:rPr>
        <w:t xml:space="preserve"> La doctrina de los actos propios, cuyo linaje se remonta al menos hasta la glosa, es una respuesta judicial a problemas concretos y acuciantes; y al ser una respuesta jurisprudencial y doctrinal y no legislativa, ella ha sido desarrollada gradualmente. Se trata de una idea simple: nadie puede variar de comportamiento injustificadamente cuando ha generado en otros una expectativa de comportamiento futuro. Es una respuesta jurisprudencial creada solvitur ambulando (solucionando sobre la marcha), y constituye una derivación inmediata y directa del principio de la buena fe. Lo concreto es que la buena fe no consiente el cambio de actitud en perjuicio de terceros, cuando la conducta anterior ha generado en ellos expectativas de comportamiento futuro</w:t>
      </w:r>
      <w:r>
        <w:rPr>
          <w:lang w:val="es-AR" w:eastAsia="es-AR" w:bidi="es-AR"/>
        </w:rPr>
        <w:t xml:space="preserve">..." ( cfr.  Marcelo López Meza Doctrina de los actos propios: Esencia y Requisitos de Aplicación ). </w:t>
      </w:r>
    </w:p>
    <w:p>
      <w:pPr>
        <w:pStyle w:val="[Normal]"/>
        <w:spacing w:line="360" w:lineRule="auto"/>
        <w:ind w:firstLine="1134"/>
        <w:jc w:val="both"/>
        <w:rPr>
          <w:lang w:val="es-AR" w:eastAsia="es-AR" w:bidi="es-AR"/>
        </w:rPr>
      </w:pPr>
      <w:r>
        <w:rPr>
          <w:lang w:val="es-AR" w:eastAsia="es-AR" w:bidi="es-AR"/>
        </w:rPr>
        <w:t xml:space="preserve">Por ello es que corresponde confirmar el auto atacado que se ajustó a lo estrictamente pactado entre los firmantes del contrato y los efectos  del contrato que son oponibles a terceros no pueden retrotrarse del modo pretendido.</w:t>
      </w:r>
    </w:p>
    <w:p>
      <w:pPr>
        <w:pStyle w:val="[Normal]"/>
        <w:spacing w:line="360" w:lineRule="auto"/>
        <w:ind w:firstLine="1134"/>
        <w:jc w:val="both"/>
        <w:rPr>
          <w:lang w:val="es-AR" w:eastAsia="es-AR" w:bidi="es-AR"/>
        </w:rPr>
      </w:pPr>
      <w:r>
        <w:rPr>
          <w:b/>
          <w:lang w:val="es-AR" w:eastAsia="es-AR" w:bidi="es-AR"/>
        </w:rPr>
        <w:t xml:space="preserve">b ) En relación a los honorarios </w:t>
      </w:r>
      <w:r>
        <w:rPr>
          <w:lang w:val="es-AR" w:eastAsia="es-AR" w:bidi="es-AR"/>
        </w:rPr>
        <w:t xml:space="preserve">de los Dres.  Nelson Alberto O’Brien y Dr. Juan Alberto  O’Brien Araujo que por la identidad de los argumentos los he de tratar de modo conjunto y adelanto la opinión que no llevan razón los apelantes.</w:t>
      </w:r>
    </w:p>
    <w:p>
      <w:pPr>
        <w:pStyle w:val="[Normal]"/>
        <w:spacing w:line="360" w:lineRule="auto"/>
        <w:ind w:firstLine="1134"/>
        <w:jc w:val="both"/>
        <w:rPr>
          <w:lang w:val="es-AR" w:eastAsia="es-AR" w:bidi="es-AR"/>
        </w:rPr>
      </w:pPr>
      <w:r>
        <w:rPr>
          <w:lang w:val="es-AR" w:eastAsia="es-AR" w:bidi="es-AR"/>
        </w:rPr>
        <w:t xml:space="preserve">Las presentes actuaciones, ha finalizado por medio de la homologación judicial del acuerdo transaccional realizado entre el actor y el codemandado Facundo Pardini, contrato  que se celebró con  los abogados de ellos, del cual no participaron ni los restantes codemandados ni sus Letrados.</w:t>
      </w:r>
    </w:p>
    <w:p>
      <w:pPr>
        <w:pStyle w:val="[Normal]"/>
        <w:spacing w:line="360" w:lineRule="auto"/>
        <w:ind w:firstLine="1134"/>
        <w:jc w:val="both"/>
        <w:rPr>
          <w:lang w:val="es-AR" w:eastAsia="es-AR" w:bidi="es-AR"/>
        </w:rPr>
      </w:pPr>
      <w:r>
        <w:rPr>
          <w:lang w:val="es-AR" w:eastAsia="es-AR" w:bidi="es-AR"/>
        </w:rPr>
        <w:t xml:space="preserve">El punto aquí se inicia con el primer interrogante a desentrañar, esto es si el acuerdo celebrado por uno de los litis consorcista es oponible a los restantes integrantes del litisconsocio pasivo y adelanto desde ya que si.</w:t>
      </w:r>
    </w:p>
    <w:p>
      <w:pPr>
        <w:pStyle w:val="[Normal]"/>
        <w:spacing w:line="360" w:lineRule="auto"/>
        <w:ind w:firstLine="1134"/>
        <w:jc w:val="both"/>
        <w:rPr>
          <w:lang w:val="es-AR" w:eastAsia="es-AR" w:bidi="es-AR"/>
        </w:rPr>
      </w:pPr>
      <w:r>
        <w:rPr>
          <w:lang w:val="es-AR" w:eastAsia="es-AR" w:bidi="es-AR"/>
        </w:rPr>
        <w:t xml:space="preserve">Para ello, he de partir de lo expuesto por la Suprema Corte de la Provincia Bs. As. en tal sentido: "... Lo dicho sobre los efectos expansivos del contrato, vale para los efectos indirectos. Tratándose de los efectos directos la regla es la relatividad, es decir la inoponibilidad (e ininvocabilidad), y la excepción la oponibilidad (e invocabilidad)”. “Cuando en lo sucesivo hablemos de la relatividad de los contratos, entenderemos referirnos a los efectos directos”. “Dentro del campo de los efectos directos, pasemos a ver que hay de cierto en la regla los contratos tienen efectos entre partes; `no perjudican ni benefician a terceros'“. De lo expuesto surge que el acuerdo de voluntades instrumentado en la especie establece una relación jurídica sólo entre quienes transigieron y sólo entre ellos se extinguió o se modificó la relación jurídica preexistente. Sólo entre ellos produce la transacción efectos directos. Pero los efectos indirectos de dicha transacción se producen con todos los terceros a quienes es oponible y por quienes resulta invocable, e incluso alcanza a los profesionales que asistían a la parte demandada (art. 308, C.P.C.). Concluido el proceso (art. 308, C.P.C.) no queda alternativa posible: la regulación de honorarios de los profesionales debe efectuarse como hizo el tribunal a quo, conforme lo dispone el art. 25 de la ley 8904, sobre el monto total de la transacción..." ( SCBA. Ac. 65.021, Ac.  76.973, entre otros ). </w:t>
      </w:r>
    </w:p>
    <w:p>
      <w:pPr>
        <w:pStyle w:val="[Normal]"/>
        <w:spacing w:line="360" w:lineRule="auto"/>
        <w:ind w:firstLine="1134"/>
        <w:jc w:val="both"/>
        <w:rPr>
          <w:lang w:val="es-AR" w:eastAsia="es-AR" w:bidi="es-AR"/>
        </w:rPr>
      </w:pPr>
      <w:r>
        <w:rPr>
          <w:lang w:val="es-AR" w:eastAsia="es-AR" w:bidi="es-AR"/>
        </w:rPr>
        <w:t xml:space="preserve">Entonces desde aquí, se observa que el auto apelado tomó como base arancelaria la suma acordada en la transacción en la suma de $ 80.000 y sobre ello, la juez a-quo reguló los emolumentos profesionales y al advertir que los regulados excedían el 25 % ( art. 730 C.C.C.), procedió al prorrateo y ello es conforme manda legal.</w:t>
      </w:r>
    </w:p>
    <w:p>
      <w:pPr>
        <w:pStyle w:val="[Normal]"/>
        <w:spacing w:line="360" w:lineRule="auto"/>
        <w:ind w:firstLine="1134"/>
        <w:jc w:val="both"/>
        <w:rPr>
          <w:lang w:val="es-AR" w:eastAsia="es-AR" w:bidi="es-AR"/>
        </w:rPr>
      </w:pPr>
      <w:r>
        <w:rPr>
          <w:lang w:val="es-AR" w:eastAsia="es-AR" w:bidi="es-AR"/>
        </w:rPr>
        <w:t xml:space="preserve">En efecto, el art. 730 textualmente reza: "...  Efectos con relación al acreedor La obligación da derecho al acreedor a: a) emplear los medios legales para que el deudor le procure aquello a que se ha obligado;...  Si el incumplimiento de la obligación, cualquiera sea su fuente, deriva en litigio judicial o arbitral, la responsabilidad por el pago de las costas, incluidos los honorarios profesionales, de todo tipo, allí devengados y correspondientes a la primera o única instancia, no debe exceder del veinticinco por ciento del monto de la sentencia, laudo, transacción o instrumento que ponga fin al diferendo. Si las regulaciones de honorarios practicadas conforme a las leyes arancelarias o usos locales, correspondientes a todas las profesiones y especialidades, superan dicho porcentaje, </w:t>
      </w:r>
      <w:r>
        <w:rPr>
          <w:b/>
          <w:lang w:val="es-AR" w:eastAsia="es-AR" w:bidi="es-AR"/>
        </w:rPr>
        <w:t xml:space="preserve">el juez debe proceder a prorratear los montos entre los beneficiarios</w:t>
      </w:r>
      <w:r>
        <w:rPr>
          <w:lang w:val="es-AR" w:eastAsia="es-AR" w:bidi="es-AR"/>
        </w:rPr>
        <w:t xml:space="preserve">. Para el cómputo del porcentaje indicado, no se debe tener en cuenta el monto de los honorarios de los profesionales que han representado, patrocinado o asistido a la parte condenada en costas...". ( el resaltado me pertenece ).</w:t>
      </w:r>
    </w:p>
    <w:p>
      <w:pPr>
        <w:pStyle w:val="[Normal]"/>
        <w:spacing w:line="360" w:lineRule="auto"/>
        <w:ind w:firstLine="1134"/>
        <w:jc w:val="both"/>
        <w:rPr>
          <w:lang w:val="es-AR" w:eastAsia="es-AR" w:bidi="es-AR"/>
        </w:rPr>
      </w:pPr>
      <w:r>
        <w:rPr>
          <w:lang w:val="es-AR" w:eastAsia="es-AR" w:bidi="es-AR"/>
        </w:rPr>
        <w:t xml:space="preserve">Esta Alzada, se ha expedido ya en relación a la procedencia del prorrateo de los honorarios de los Letrados cuando la situación encuadra en los términos del art. 730 CCC. ( Cfr. en tal sentido CAP, Causa N° 1836-13 caratulados "Diaz Luis y otra c/ Iraeta, Néstor  y otros s/ Daños y Perjuicios "  RSD 20/2016 ).</w:t>
      </w:r>
    </w:p>
    <w:p>
      <w:pPr>
        <w:pStyle w:val="[Normal]"/>
        <w:spacing w:line="360" w:lineRule="auto"/>
        <w:ind w:firstLine="1134"/>
        <w:jc w:val="both"/>
        <w:rPr>
          <w:lang w:val="es-AR" w:eastAsia="es-AR" w:bidi="es-AR"/>
        </w:rPr>
      </w:pPr>
      <w:r>
        <w:rPr>
          <w:lang w:val="es-AR" w:eastAsia="es-AR" w:bidi="es-AR"/>
        </w:rPr>
        <w:t xml:space="preserve">Nuestro Máximo Tribunal Provincial, con anterioridad a la entrada en vigencia del nuevo Código Civil y Comercial, en la intepretación del art. 505 C.C., concluía que es procedente el prorrateo que edicta la norma ( SCBA., Ac. 76. 973 del 2008, Ac. 96.638 del 11 / 08 / 10 ).</w:t>
      </w:r>
    </w:p>
    <w:p>
      <w:pPr>
        <w:pStyle w:val="[Normal]"/>
        <w:spacing w:line="360" w:lineRule="auto"/>
        <w:ind w:firstLine="1134"/>
        <w:jc w:val="both"/>
        <w:rPr>
          <w:lang w:val="es-AR" w:eastAsia="es-AR" w:bidi="es-AR"/>
        </w:rPr>
      </w:pPr>
      <w:r>
        <w:rPr>
          <w:lang w:val="es-AR" w:eastAsia="es-AR" w:bidi="es-AR"/>
        </w:rPr>
        <w:t xml:space="preserve">Y, así en  el fallo recaído en C 112988 del 17/4/2013, que dispone hacer efectivo el prorrateo que establece la citada norma, el Dr. Genoud quien integrara la mayoría, expresó en su voto que "...que esta norma sólo dispone la inoponibilidad al condenado en costas de lo que exceda del 25% del producto de la sentencia, laudo o transacción...(y)...limita  el alcance de la obligación que resulta de la condena en costas al porcentaje de referencia, en el supuesto de incumplimiento de la obligación cualquiera sea su fuente; es decir, contiene una limitación respecto del alcance de la responsabilidad por las costas y  no respecto de los honorarios profesionales que resulta un capítulo dentro de ese rubro, mas no el único... La disposición se refiere a la responsabilidad del deudor, a la extensión con la que debe indemnizar los gastos hechos por su acreedor para forzar el cumplimiento de la obligación, lo que es un tema típico del derecho de fondo. Consecuentemente, no existe imposibilidad de regular los honorarios por los trabajos profesionales conforme a las disposiciones locales, sino que frente al actual articulado legal, se infiere una cuestión de medida respecto del porcentual posible de afectación al deudor, en lo vinculado a su deber de reparación integral con consecuencias razonables para éste, ya que su responsabilidad por las costas estará acotada a parámetros coherentes con el carácter accesorio que éstas representan (conf. causas L. 73.148 y  L. 75.196, ambas con sents. del 12-III-2003)."</w:t>
      </w:r>
    </w:p>
    <w:p>
      <w:pPr>
        <w:pStyle w:val="[Normal]"/>
        <w:spacing w:line="360" w:lineRule="auto"/>
        <w:ind w:firstLine="1134"/>
        <w:jc w:val="both"/>
        <w:rPr>
          <w:lang w:val="es-AR" w:eastAsia="es-AR" w:bidi="es-AR"/>
        </w:rPr>
      </w:pPr>
      <w:r>
        <w:rPr>
          <w:lang w:val="es-AR" w:eastAsia="es-AR" w:bidi="es-AR"/>
        </w:rPr>
        <w:t xml:space="preserve">Consideró entonces, que "...partiendo de la base de advertir que en las actuaciones el tribunal de grado se ha ceñido a la legislación arancelaria local para fijar el monto de los honorarios profesionales (en tarea irreprochable, según lo sostengo), es lo cierto también que dicha tarea permanece incompleta si no se aplica a su vez el art. 505 del Código Civil...(y)...deberá oportunamente el tribunal interviniente complementar su labor prorrateando las regulaciones hasta dicha medida, conforme lo establece la normativa que vengo comentando." En causa L117286 del 15/7/2015, se reiteró el mismo criterio y se dijo  "...que lo prescripto por el art. 277 de la Ley de Contrato de Trabajo (o el art. 505 del Código Civil) no resulta una restricción a la facultad de los jueces para aplicar las reglas locales sobre, por ejemplo, los honorarios que pudieran regularse, sino un límite a la responsabilidad del deudor (condenado en costas), a quien no puede serle exigido un pago que supere el porcentaje fijado por la ley..." (del voto del Dr. De Lazzari) y en causa C118302 del 1/7/2015, que "... si bien el citado art. 505 del Código Civil no modifica la imposición de costas sino que establece un tope a la extensión de la responsabilidad del vencido a quien se obliga a pagar hasta el mencionado porcentaje (calculado sobre el monto de sentencia), lo cierto es que implica que los honorarios profesionales serán regulados de acuerdo a la ley local, debiendo responder por ellas el deudor hasta el límite antes mencionado (conf. doct. causas Ac. 78.984, sent. del 30-VI-2004; C. 97.539, sent. del 13-V-2009)". (del voto del Dr. Hitters).</w:t>
      </w:r>
    </w:p>
    <w:p>
      <w:pPr>
        <w:pStyle w:val="[Normal]"/>
        <w:spacing w:line="360" w:lineRule="auto"/>
        <w:ind w:firstLine="1134"/>
        <w:jc w:val="both"/>
        <w:rPr>
          <w:lang w:val="es-AR" w:eastAsia="es-AR" w:bidi="es-AR"/>
        </w:rPr>
      </w:pPr>
      <w:r>
        <w:rPr>
          <w:lang w:val="es-AR" w:eastAsia="es-AR" w:bidi="es-AR"/>
        </w:rPr>
        <w:t xml:space="preserve">Finalmente, nuestro Máximo Tribunal Federal, en un fallo   en el mismo sentido donde hace suyo el dictamen de la  Procuración General de la Nación, en lo pertinente cuando analiza el art. 730 C.C.C. dice: "..., considero que la cuestión que se examina en este caso es sustancialmente análoga y, por ende, encuentra adecuada respuesta en las decisiones adoptadas por la Corte Suprema en los precedentes registrados en Fallos: 332:921, "Abdurraman", 332:1118, "Brambilla" y 332:1276, ''Villalba''. En esos casos, el máximo tribunal se expidió a favor de la constitucionalidad de la modificación introducida por la ley 24.432 a los artículos 505 del Código Civil, entonces vigente, y 277 de la ley 20.744.,..., Por el otro, consideró que la eventual posibilidad de que los profesionales intervinientes ejecuten a su cliente no condenado en costas por el saldo impago de honorarios que pudiese resultar del prorrateo legal no resulta violatoria del derecho de propiedad reconocido en el artículo 17 de la Constitución Nacional (Fallos: 332:1276, cit., considerando 7°)..." ( CSJN: "Latino, Sandra Marcela el Sanear Coop. de Seg. Ltda. y otros si daños y perjuicios" del 11  de julio de 2019 ).</w:t>
      </w:r>
    </w:p>
    <w:p>
      <w:pPr>
        <w:pStyle w:val="[Normal]"/>
        <w:spacing w:line="360" w:lineRule="auto"/>
        <w:ind w:firstLine="1134"/>
        <w:jc w:val="both"/>
        <w:rPr>
          <w:lang w:val="es-AR" w:eastAsia="es-AR" w:bidi="es-AR"/>
        </w:rPr>
      </w:pPr>
      <w:r>
        <w:rPr>
          <w:lang w:val="es-AR" w:eastAsia="es-AR" w:bidi="es-AR"/>
        </w:rPr>
        <w:t xml:space="preserve">Entiendo que en estos autos y en seguimiento de la doctrina del Superior tanto Provincial como Nacional, corresponde entonces hacer efectivo el prorrateo que establece dicho artículo, y en consecuencia confirmar el auto apelado.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lo dispuesto por los  arts. 730, 1641 y sgtes.  del C.C.C., art. 308 CPC., art. 25 de la ley de Honorarios Profesionales,</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ROBERTO DEGLEUE,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b/>
          <w:lang w:val="es-AR" w:eastAsia="es-AR" w:bidi="es-AR"/>
        </w:rPr>
        <w:t xml:space="preserve">a )</w:t>
      </w:r>
      <w:r>
        <w:rPr>
          <w:lang w:val="es-AR" w:eastAsia="es-AR" w:bidi="es-AR"/>
        </w:rPr>
        <w:t xml:space="preserve"> Desestimar el  recurso de apelación interpuesto por el codemandado Facundo Pardini y en consecuencia confirmar el auto atacado en lo que fue motivo de agravio. Con costas a su cargo por resultar vencido ( art. 68 CPC.).</w:t>
      </w:r>
    </w:p>
    <w:p>
      <w:pPr>
        <w:pStyle w:val="[Normal]"/>
        <w:spacing w:line="360" w:lineRule="auto"/>
        <w:ind w:firstLine="1134"/>
        <w:jc w:val="both"/>
        <w:rPr>
          <w:lang w:val="es-AR" w:eastAsia="es-AR" w:bidi="es-AR"/>
        </w:rPr>
      </w:pPr>
      <w:r>
        <w:rPr>
          <w:b/>
          <w:lang w:val="es-AR" w:eastAsia="es-AR" w:bidi="es-AR"/>
        </w:rPr>
        <w:t xml:space="preserve">b )</w:t>
      </w:r>
      <w:r>
        <w:rPr>
          <w:lang w:val="es-AR" w:eastAsia="es-AR" w:bidi="es-AR"/>
        </w:rPr>
        <w:t xml:space="preserve"> Rechazar la apelación interpuesta por los Dres.   Nelson Alberto O’Brien y Dr. Juan Alberto  O’Brien Araujo. Sin costas por no haber contienda ( art. 68 CPC.).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ROBERTO DEGLEUE,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b/>
          <w:lang w:val="es-AR" w:eastAsia="es-AR" w:bidi="es-AR"/>
        </w:rPr>
        <w:t xml:space="preserve">a )</w:t>
      </w:r>
      <w:r>
        <w:rPr>
          <w:lang w:val="es-AR" w:eastAsia="es-AR" w:bidi="es-AR"/>
        </w:rPr>
        <w:t xml:space="preserve"> Desestimar el  recurso de apelación interpuesto por el codemandado Facundo Pardini y en consecuencia confirmar el auto atacado en lo que fue motivo de agravio. Con costas a su cargo por resultar vencido ( art. 68 CPC.).</w:t>
      </w:r>
    </w:p>
    <w:p>
      <w:pPr>
        <w:pStyle w:val="[Normal]"/>
        <w:spacing w:line="360" w:lineRule="auto"/>
        <w:ind w:firstLine="1134"/>
        <w:jc w:val="both"/>
        <w:rPr>
          <w:lang w:val="es-AR" w:eastAsia="es-AR" w:bidi="es-AR"/>
        </w:rPr>
      </w:pPr>
      <w:r>
        <w:rPr>
          <w:b/>
          <w:lang w:val="es-AR" w:eastAsia="es-AR" w:bidi="es-AR"/>
        </w:rPr>
        <w:t xml:space="preserve">b )</w:t>
      </w:r>
      <w:r>
        <w:rPr>
          <w:lang w:val="es-AR" w:eastAsia="es-AR" w:bidi="es-AR"/>
        </w:rPr>
        <w:t xml:space="preserve"> Rechazar la apelación interpuesta por los Dres.   Nelson Alberto O’Brien y Dr. Juan Alberto  O’Brien Araujo. Sin costas por no haber contienda ( art. 68 CPC.).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lang w:val="es-AR" w:eastAsia="es-AR" w:bidi="es-AR"/>
        </w:rPr>
      </w:pPr>
      <w:r>
        <w:rPr>
          <w:noProof/>
          <w:color w:val="000000"/>
          <w:lang w:val="es-AR" w:eastAsia="es-AR" w:bidi="es-AR"/>
        </w:rPr>
        <w:t xml:space="preserve">27334160098@NOTIFICACIONES.SCBA.GOV.AR</w:t>
      </w:r>
    </w:p>
    <w:p>
      <w:pPr>
        <w:pStyle w:val="[Normal]"/>
        <w:spacing w:line="360" w:lineRule="auto"/>
        <w:ind w:firstLine="1134"/>
        <w:jc w:val="both"/>
        <w:rPr>
          <w:lang w:val="es-AR" w:eastAsia="es-AR" w:bidi="es-AR"/>
        </w:rPr>
      </w:pPr>
      <w:r>
        <w:rPr>
          <w:noProof/>
          <w:color w:val="000000"/>
          <w:lang w:val="es-AR" w:eastAsia="es-AR" w:bidi="es-AR"/>
        </w:rPr>
        <w:t xml:space="preserve">27280217730@NOTIFICACIONES.SCBA.GOV.AR</w:t>
      </w:r>
    </w:p>
    <w:p>
      <w:pPr>
        <w:pStyle w:val="[Normal]"/>
        <w:spacing w:line="360" w:lineRule="auto"/>
        <w:ind w:firstLine="1134"/>
        <w:jc w:val="both"/>
        <w:rPr>
          <w:lang w:val="es-AR" w:eastAsia="es-AR" w:bidi="es-AR"/>
        </w:rPr>
      </w:pPr>
      <w:r>
        <w:rPr>
          <w:noProof/>
          <w:color w:val="000000"/>
          <w:lang w:val="es-AR" w:eastAsia="es-AR" w:bidi="es-AR"/>
        </w:rPr>
        <w:t xml:space="preserve">20296388638@NOTIFICACIONES.SCBA.GOV.AR</w:t>
      </w:r>
    </w:p>
    <w:p>
      <w:pPr>
        <w:pStyle w:val="[Normal]"/>
        <w:spacing w:line="360" w:lineRule="auto"/>
        <w:ind w:firstLine="1134"/>
        <w:jc w:val="both"/>
        <w:rPr>
          <w:lang w:val="es-AR" w:eastAsia="es-AR" w:bidi="es-AR"/>
        </w:rPr>
      </w:pPr>
      <w:r>
        <w:rPr>
          <w:noProof/>
          <w:color w:val="000000"/>
          <w:lang w:val="es-AR" w:eastAsia="es-AR" w:bidi="es-AR"/>
        </w:rPr>
        <w:t xml:space="preserve">20270341951@NOTIFICACIONES.SCBA.GOV.AR</w:t>
      </w:r>
    </w:p>
    <w:p>
      <w:pPr>
        <w:pStyle w:val="[Normal]"/>
        <w:spacing w:line="360" w:lineRule="auto"/>
        <w:ind w:firstLine="1134"/>
        <w:jc w:val="both"/>
        <w:rPr>
          <w:lang w:val="es-AR" w:eastAsia="es-AR" w:bidi="es-AR"/>
        </w:rPr>
      </w:pPr>
      <w:r>
        <w:rPr>
          <w:noProof/>
          <w:color w:val="000000"/>
          <w:lang w:val="es-AR" w:eastAsia="es-AR" w:bidi="es-AR"/>
        </w:rPr>
        <w:t xml:space="preserve">20132282456@NOTIFICACIONES.SCBA.GOV.AR</w:t>
      </w:r>
    </w:p>
    <w:p>
      <w:pPr>
        <w:pStyle w:val="[Normal]"/>
        <w:spacing w:line="360" w:lineRule="auto"/>
        <w:ind w:firstLine="1134"/>
        <w:rPr>
          <w:color w:val="000000"/>
          <w:lang w:val="es-AR" w:eastAsia="es-AR" w:bidi="es-AR"/>
        </w:rPr>
      </w:pP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10:09:04 -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10:09:48 -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10:12:54 -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10:24:15 -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20132282456@NOTIFICACIONES.SCBA.GOV.AR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20270341951@NOTIFICACIONES.SCBA.GOV.AR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20296388638@NOTIFICACIONES.SCBA.GOV.AR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27280217730@NOTIFICACIONES.SCBA.GOV.AR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27334160098@NOTIFICACIONES.SCBA.GOV.AR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‰7?")è%5-cvŠ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233102090005211367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4283 - 21 - LLOP JOSE MARIA C/ DUZDEVICH GRACIELA Y OTROS  S/ DAÑOS Y PERJUICIOS EXTRACONTRACTUAL (EXC. AUTOM./ESTADO)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‰7?")è%5-cvŠ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233102090005211367</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