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84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479/481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4301-21</w:t>
      </w:r>
      <w:r>
        <w:rPr>
          <w:lang w:val="es-AR" w:eastAsia="es-AR" w:bidi="es-AR"/>
        </w:rPr>
        <w:t xml:space="preserve"> caratulada </w:t>
      </w:r>
      <w:r>
        <w:rPr>
          <w:b/>
          <w:lang w:val="es-AR" w:eastAsia="es-AR" w:bidi="es-AR"/>
        </w:rPr>
        <w:t xml:space="preserve">"</w:t>
      </w:r>
      <w:r>
        <w:rPr>
          <w:b/>
          <w:color w:val="000000"/>
          <w:lang w:val="es-AR" w:eastAsia="es-AR" w:bidi="es-AR"/>
        </w:rPr>
        <w:t xml:space="preserve">VEGA, CAROLINA ELISABET C/ PROFE (PROGRAMA FEDERAL INCLUIR SALUD S/AMPARO</w:t>
      </w:r>
      <w:r>
        <w:rPr>
          <w:b/>
          <w:lang w:val="es-AR" w:eastAsia="es-AR" w:bidi="es-AR"/>
        </w:rPr>
        <w:t xml:space="preserve">"</w:t>
      </w:r>
      <w:r>
        <w:rPr>
          <w:lang w:val="es-AR" w:eastAsia="es-AR" w:bidi="es-AR"/>
        </w:rPr>
        <w:t xml:space="preserve">, Expte. N° </w:t>
      </w:r>
      <w:r>
        <w:rPr>
          <w:color w:val="000000"/>
          <w:lang w:val="es-AR" w:eastAsia="es-AR" w:bidi="es-AR"/>
        </w:rPr>
        <w:t xml:space="preserve">41087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Paz Letrado  de Colón</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Degelue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anterior instancia, en fecha 15 de junio de 2021 hizo efectivo el apercibimiento del 01/06/2021 y tuvo por no presentado el escrito de fecha 27/05/2021, atento el incumplimiento en el pago del Bono Ley 8480 y anticipo previsional de la parte demandada.</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demandada en fecha 18/06/2021 y concedido en relación y con efecto suspensivo el 25/06/2021.</w:t>
      </w:r>
    </w:p>
    <w:p>
      <w:pPr>
        <w:pStyle w:val="[Normal]"/>
        <w:spacing w:line="360" w:lineRule="auto"/>
        <w:ind w:firstLine="1134"/>
        <w:jc w:val="both"/>
        <w:rPr>
          <w:lang w:val="es-AR" w:eastAsia="es-AR" w:bidi="es-AR"/>
        </w:rPr>
      </w:pPr>
      <w:r>
        <w:rPr>
          <w:lang w:val="es-AR" w:eastAsia="es-AR" w:bidi="es-AR"/>
        </w:rPr>
        <w:t xml:space="preserve">Elevados los autos a esta instancia, en fecha 01/07/2021 se pasan los autos para resolver (art. 270 CPC), providencia que firme a la fecha deja a la causa en condiciones de ser fallada.</w:t>
      </w:r>
    </w:p>
    <w:p>
      <w:pPr>
        <w:pStyle w:val="[Normal]"/>
        <w:spacing w:line="360" w:lineRule="auto"/>
        <w:ind w:firstLine="1134"/>
        <w:jc w:val="both"/>
        <w:rPr>
          <w:lang w:val="es-AR" w:eastAsia="es-AR" w:bidi="es-AR"/>
        </w:rPr>
      </w:pPr>
      <w:r>
        <w:rPr>
          <w:b/>
          <w:lang w:val="es-AR" w:eastAsia="es-AR" w:bidi="es-AR"/>
        </w:rPr>
        <w:t xml:space="preserve">Agravios de la demandada:</w:t>
      </w:r>
    </w:p>
    <w:p>
      <w:pPr>
        <w:pStyle w:val="[Normal]"/>
        <w:spacing w:line="360" w:lineRule="auto"/>
        <w:ind w:firstLine="1134"/>
        <w:jc w:val="both"/>
        <w:rPr>
          <w:lang w:val="es-AR" w:eastAsia="es-AR" w:bidi="es-AR"/>
        </w:rPr>
      </w:pPr>
      <w:r>
        <w:rPr>
          <w:lang w:val="es-AR" w:eastAsia="es-AR" w:bidi="es-AR"/>
        </w:rPr>
        <w:t xml:space="preserve">Que, al tiempo de la interposición de la revisión y de la  apelación en subsidio, la apelante acompaña el Bono Ley 8480 y el anticipo previsional. Realiza una reseña de los antecedentes de la causa que culminan con la resolución atacada, para decir seguidamente que la sanción dispuesta no está contemplada en la ley y afecta el derecho de defensa.</w:t>
      </w:r>
    </w:p>
    <w:p>
      <w:pPr>
        <w:pStyle w:val="[Normal]"/>
        <w:spacing w:line="360" w:lineRule="auto"/>
        <w:ind w:firstLine="1134"/>
        <w:jc w:val="both"/>
        <w:rPr>
          <w:lang w:val="es-AR" w:eastAsia="es-AR" w:bidi="es-AR"/>
        </w:rPr>
      </w:pPr>
      <w:r>
        <w:rPr>
          <w:lang w:val="es-AR" w:eastAsia="es-AR" w:bidi="es-AR"/>
        </w:rPr>
        <w:t xml:space="preserve">Expresa que el JUS previsional es una carga del letrado y no de la parte que lo patrocina o representa y que en la interpretación de las leyes que pueden llevar a la pérdida de un derecho, es cuando se exige el máximo de prudencia. Resalta que las cargas en cuestión (Bono Ley y Anticipo Previsional) han sido acompañadas al presente recurso sin que haya precluído ninguna etapa. Alude al rigorismo formal que puede afectar derechos de naturaleza constitucional y ello lo sostiene con citas de jurisprudencia que transcribe.</w:t>
      </w:r>
    </w:p>
    <w:p>
      <w:pPr>
        <w:pStyle w:val="[Normal]"/>
        <w:spacing w:line="360" w:lineRule="auto"/>
        <w:ind w:firstLine="1134"/>
        <w:jc w:val="both"/>
        <w:rPr>
          <w:lang w:val="es-AR" w:eastAsia="es-AR" w:bidi="es-AR"/>
        </w:rPr>
      </w:pPr>
      <w:r>
        <w:rPr>
          <w:lang w:val="es-AR" w:eastAsia="es-AR" w:bidi="es-AR"/>
        </w:rPr>
        <w:t xml:space="preserve">Se duele también del segmento del resolutorio que le vuelve a imponer astreintes para lo cual da cuenta que no se le puede sancionar dos veces por la misma causa o incumplimiento.</w:t>
      </w:r>
    </w:p>
    <w:p>
      <w:pPr>
        <w:pStyle w:val="[Normal]"/>
        <w:spacing w:line="360" w:lineRule="auto"/>
        <w:ind w:firstLine="1134"/>
        <w:jc w:val="both"/>
        <w:rPr>
          <w:lang w:val="es-AR" w:eastAsia="es-AR" w:bidi="es-AR"/>
        </w:rPr>
      </w:pPr>
      <w:r>
        <w:rPr>
          <w:lang w:val="es-AR" w:eastAsia="es-AR" w:bidi="es-AR"/>
        </w:rPr>
        <w:t xml:space="preserve">Finalmente, deja planteada la declaración de inconstitucionalidad  de los arts. 12 bis y 13 de la Ley 6716 y el art. 7 de la ley 8480, hace reserva del caso federal y pide que se revoque la resolución atacada.</w:t>
      </w:r>
    </w:p>
    <w:p>
      <w:pPr>
        <w:pStyle w:val="[Normal]"/>
        <w:spacing w:line="360" w:lineRule="auto"/>
        <w:ind w:firstLine="1134"/>
        <w:jc w:val="both"/>
        <w:rPr>
          <w:lang w:val="es-AR" w:eastAsia="es-AR" w:bidi="es-AR"/>
        </w:rPr>
      </w:pPr>
      <w:r>
        <w:rPr>
          <w:lang w:val="es-AR" w:eastAsia="es-AR" w:bidi="es-AR"/>
        </w:rPr>
        <w:t xml:space="preserve">En tarea de decidir, entiendo que lleva razón la parte apelante y para así decidir he de seguir, por compartir en un todo, lo ya expuesto por este Tribunal de Alzada en pronunciamientos anteriores.</w:t>
      </w:r>
    </w:p>
    <w:p>
      <w:pPr>
        <w:pStyle w:val="[Normal]"/>
        <w:spacing w:line="360" w:lineRule="auto"/>
        <w:ind w:firstLine="1134"/>
        <w:jc w:val="both"/>
        <w:rPr>
          <w:lang w:val="es-AR" w:eastAsia="es-AR" w:bidi="es-AR"/>
        </w:rPr>
      </w:pPr>
      <w:r>
        <w:rPr>
          <w:lang w:val="es-AR" w:eastAsia="es-AR" w:bidi="es-AR"/>
        </w:rPr>
        <w:t xml:space="preserve">Para llegar a tal solución considero que no corresponde entrar a resolver sobre la constitucionalidad de las normas atacadas por el apelante  en tanto dicho análisis importa una de las funciones más sensibles para cualquier tribunal de justicia,  siendo la última ratio del orden jurídico y, en el caso, se puede llegar a una solución ajustada a derecho por otro camino.</w:t>
      </w:r>
    </w:p>
    <w:p>
      <w:pPr>
        <w:pStyle w:val="[Normal]"/>
        <w:spacing w:line="360" w:lineRule="auto"/>
        <w:ind w:firstLine="1134"/>
        <w:jc w:val="both"/>
        <w:rPr>
          <w:lang w:val="es-AR" w:eastAsia="es-AR" w:bidi="es-AR"/>
        </w:rPr>
      </w:pPr>
      <w:r>
        <w:rPr>
          <w:lang w:val="es-AR" w:eastAsia="es-AR" w:bidi="es-AR"/>
        </w:rPr>
        <w:t xml:space="preserve">Tampoco resulta necesario decidir la tensión de derechos entre los obligados al pago de las cargas previsionales y las partes a quienes representan o patrocinan y tampoco opinar sobre si la sanción que lleva el apercibimiento es legal o no.</w:t>
      </w:r>
    </w:p>
    <w:p>
      <w:pPr>
        <w:pStyle w:val="[Normal]"/>
        <w:spacing w:line="360" w:lineRule="auto"/>
        <w:ind w:firstLine="1134"/>
        <w:jc w:val="both"/>
        <w:rPr>
          <w:lang w:val="es-AR" w:eastAsia="es-AR" w:bidi="es-AR"/>
        </w:rPr>
      </w:pPr>
      <w:r>
        <w:rPr>
          <w:lang w:val="es-AR" w:eastAsia="es-AR" w:bidi="es-AR"/>
        </w:rPr>
        <w:t xml:space="preserve">En el caso de autos, la solución revocatoria del auto apelado reposa en una cuestión de naturaleza procesal, que a criterio de este Tribunal es que el cumplimiento en las cargas por parte del Letrado, con anterioridad a que gane firmeza la providencia que hace efectivo el apercibimiento, importa que éste se ha cumplido en tiempo y forma. </w:t>
      </w:r>
    </w:p>
    <w:p>
      <w:pPr>
        <w:pStyle w:val="[Normal]"/>
        <w:spacing w:line="360" w:lineRule="auto"/>
        <w:ind w:firstLine="1134"/>
        <w:jc w:val="both"/>
        <w:rPr>
          <w:lang w:val="es-AR" w:eastAsia="es-AR" w:bidi="es-AR"/>
        </w:rPr>
      </w:pPr>
      <w:r>
        <w:rPr>
          <w:lang w:val="es-AR" w:eastAsia="es-AR" w:bidi="es-AR"/>
        </w:rPr>
        <w:t xml:space="preserve">En efecto, la parte demandada se presenta en fecha 27/05/2021 y solicita se decrete la nulidad de la notificación de la demanda y apela además las astreintes fijadas como así la medida cautelar dispuesta.</w:t>
      </w:r>
    </w:p>
    <w:p>
      <w:pPr>
        <w:pStyle w:val="[Normal]"/>
        <w:spacing w:line="360" w:lineRule="auto"/>
        <w:ind w:firstLine="1134"/>
        <w:jc w:val="both"/>
        <w:rPr>
          <w:lang w:val="es-AR" w:eastAsia="es-AR" w:bidi="es-AR"/>
        </w:rPr>
      </w:pPr>
      <w:r>
        <w:rPr>
          <w:lang w:val="es-AR" w:eastAsia="es-AR" w:bidi="es-AR"/>
        </w:rPr>
        <w:t xml:space="preserve">La presentación es proveída en fecha 1 de junio de 2021 y previo a todo se intima a la demandada a que acompañe el Bono Ley 8480 y el anticipo previsional y ante el incumplimiento en el plazo que se le determinó, en fecha 15 del mismo mes y año, la Sra. Jueza hace efectivo el apercibimiento y consecuentemente tiene por no presentada a PROFE y reitera el cumplimiento de la cautelar ordenada bajo apercibimiento de astreintes.</w:t>
      </w:r>
    </w:p>
    <w:p>
      <w:pPr>
        <w:pStyle w:val="[Normal]"/>
        <w:spacing w:line="360" w:lineRule="auto"/>
        <w:ind w:firstLine="1134"/>
        <w:jc w:val="both"/>
        <w:rPr>
          <w:lang w:val="es-AR" w:eastAsia="es-AR" w:bidi="es-AR"/>
        </w:rPr>
      </w:pPr>
      <w:r>
        <w:rPr>
          <w:lang w:val="es-AR" w:eastAsia="es-AR" w:bidi="es-AR"/>
        </w:rPr>
        <w:t xml:space="preserve">Ello motivó en fecha 18/06/21 la solicitud de la revisión del resolutorio y apelación en subsidio, la que fue acompañada de las constancias de pago de las cargas y así al dar cumplimiento en dicho momento, cuando aún no se hallaba firme el auto que disponía hacer efectivo el apercibimiento, devino tempestivo el acompañamiento de bono y jus.</w:t>
      </w:r>
    </w:p>
    <w:p>
      <w:pPr>
        <w:pStyle w:val="[Normal]"/>
        <w:spacing w:line="360" w:lineRule="auto"/>
        <w:ind w:firstLine="1134"/>
        <w:jc w:val="both"/>
        <w:rPr>
          <w:lang w:val="es-AR" w:eastAsia="es-AR" w:bidi="es-AR"/>
        </w:rPr>
      </w:pPr>
      <w:r>
        <w:rPr>
          <w:lang w:val="es-AR" w:eastAsia="es-AR" w:bidi="es-AR"/>
        </w:rPr>
        <w:t xml:space="preserve">En consecuencia debió tenerse por cumplida la obligación y en su mérito dejar sin efecto la denegatoria a dar curso a la presentación. (confr. esta Alzada causa N° 2790 RSI 275/2016 ent. ots.).</w:t>
      </w:r>
    </w:p>
    <w:p>
      <w:pPr>
        <w:pStyle w:val="[Normal]"/>
        <w:spacing w:line="360" w:lineRule="auto"/>
        <w:ind w:firstLine="1134"/>
        <w:jc w:val="both"/>
        <w:rPr>
          <w:lang w:val="es-AR" w:eastAsia="es-AR" w:bidi="es-AR"/>
        </w:rPr>
      </w:pPr>
      <w:r>
        <w:rPr>
          <w:lang w:val="es-AR" w:eastAsia="es-AR" w:bidi="es-AR"/>
        </w:rPr>
        <w:t xml:space="preserve"> A todo evento corresponde aclarar que en el antecedente de esta Alzada que es reseñado por la juez a-quo para resolver del modo que lo hizo, (causa N° 3836-20), los presupuestos de hecho resultan distintos a los aquí traídos.</w:t>
      </w:r>
    </w:p>
    <w:p>
      <w:pPr>
        <w:pStyle w:val="[Normal]"/>
        <w:spacing w:line="360" w:lineRule="auto"/>
        <w:ind w:firstLine="1134"/>
        <w:jc w:val="both"/>
        <w:rPr>
          <w:lang w:val="es-AR" w:eastAsia="es-AR" w:bidi="es-AR"/>
        </w:rPr>
      </w:pPr>
      <w:r>
        <w:rPr>
          <w:lang w:val="es-AR" w:eastAsia="es-AR" w:bidi="es-AR"/>
        </w:rPr>
        <w:t xml:space="preserve">Finalmente también lleva razón el apelante en relación a la doble imposición de astreintes, toda vez que cuando el juzgado decretó la cautelar en fecha 22/01/2021, ordenó su cumplimiento bajo apercibimiento de astreintes, posteriormente en 26/04/21 reitera que la demandada debe cumplir con la medida ordenada bajo el mismo apercibimiento y ante la denuncia de incumplimiento en fecha 07/05/21 impone ".</w:t>
      </w:r>
      <w:r>
        <w:rPr>
          <w:i/>
          <w:lang w:val="es-AR" w:eastAsia="es-AR" w:bidi="es-AR"/>
        </w:rPr>
        <w:t xml:space="preserve">.. astreintes a la demandada que consistirán en la suma de dos mil pesos diarios ($ 2. 000) y hasta tanto cumpla la orden impartida, ello sin perjuicio de la denuncia penal que pueda efectuarse en caso consideren existe delito...".</w:t>
      </w:r>
    </w:p>
    <w:p>
      <w:pPr>
        <w:pStyle w:val="[Normal]"/>
        <w:spacing w:line="360" w:lineRule="auto"/>
        <w:ind w:firstLine="1134"/>
        <w:jc w:val="both"/>
        <w:rPr>
          <w:lang w:val="es-AR" w:eastAsia="es-AR" w:bidi="es-AR"/>
        </w:rPr>
      </w:pPr>
      <w:r>
        <w:rPr>
          <w:lang w:val="es-AR" w:eastAsia="es-AR" w:bidi="es-AR"/>
        </w:rPr>
        <w:t xml:space="preserve">Así las cosas, ha de ser dejada sin efecto la segunda imposición por el mismo hecho debiendo estarse a las impuestas en fecha 7 de mayo de 2021. Es por ello que debe acogerse la apelación subsidiaria interpuesta, sin que ello incida en la imposición de costas en atención a que fue la conducta del recurrente la que motivó la intimación y apercibimiento  habidos en autos ( arts. 68 2° párr./9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 </w:t>
      </w:r>
      <w:r>
        <w:rPr>
          <w:lang w:val="es-AR" w:eastAsia="es-AR" w:bidi="es-AR"/>
        </w:rPr>
        <w:t xml:space="preserve">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 la apelación subsidiaria deducida y en consecuencia tener por cumplida  en tiempo y forma la obligación a que se intimara (arts.  y 238 / 248 y ccs. del CPCC).</w:t>
      </w:r>
    </w:p>
    <w:p>
      <w:pPr>
        <w:pStyle w:val="[Normal]"/>
        <w:spacing w:line="360" w:lineRule="auto"/>
        <w:ind w:firstLine="1134"/>
        <w:jc w:val="both"/>
        <w:rPr>
          <w:lang w:val="es-AR" w:eastAsia="es-AR" w:bidi="es-AR"/>
        </w:rPr>
      </w:pPr>
      <w:r>
        <w:rPr>
          <w:lang w:val="es-AR" w:eastAsia="es-AR" w:bidi="es-AR"/>
        </w:rPr>
        <w:t xml:space="preserve">Dejar sin efecto las astreintes impuestas en el auto recurrido, debiendo estarse a las dispuestas en fecha 7 de mayo de 2021.</w:t>
      </w:r>
    </w:p>
    <w:p>
      <w:pPr>
        <w:pStyle w:val="[Normal]"/>
        <w:spacing w:line="360" w:lineRule="auto"/>
        <w:ind w:firstLine="1134"/>
        <w:jc w:val="both"/>
        <w:rPr>
          <w:lang w:val="es-AR" w:eastAsia="es-AR" w:bidi="es-AR"/>
        </w:rPr>
      </w:pPr>
      <w:r>
        <w:rPr>
          <w:lang w:val="es-AR" w:eastAsia="es-AR" w:bidi="es-AR"/>
        </w:rPr>
        <w:t xml:space="preserve">Costas en ambas instancias a la parte demandada (arts. 68 2° párr. /9 del CPCC).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 la apelación subsidiaria deducida y en consecuencia tener por cumplida en tiempo y forma la obligación a que se intimara  (arts. 238 / 248 y ccs. del CPCC).</w:t>
      </w:r>
    </w:p>
    <w:p>
      <w:pPr>
        <w:pStyle w:val="[Normal]"/>
        <w:spacing w:line="360" w:lineRule="auto"/>
        <w:ind w:firstLine="1134"/>
        <w:jc w:val="both"/>
        <w:rPr>
          <w:lang w:val="es-AR" w:eastAsia="es-AR" w:bidi="es-AR"/>
        </w:rPr>
      </w:pPr>
      <w:r>
        <w:rPr>
          <w:lang w:val="es-AR" w:eastAsia="es-AR" w:bidi="es-AR"/>
        </w:rPr>
        <w:t xml:space="preserve">Dejar sin efecto las astreintes impuestas en el auto recurrido debiendo estarse a las dispuestas en fecha 7 de mayo de 2021.</w:t>
      </w:r>
    </w:p>
    <w:p>
      <w:pPr>
        <w:pStyle w:val="[Normal]"/>
        <w:spacing w:line="360" w:lineRule="auto"/>
        <w:ind w:firstLine="1134"/>
        <w:jc w:val="both"/>
        <w:rPr>
          <w:lang w:val="es-AR" w:eastAsia="es-AR" w:bidi="es-AR"/>
        </w:rPr>
      </w:pPr>
      <w:r>
        <w:rPr>
          <w:lang w:val="es-AR" w:eastAsia="es-AR" w:bidi="es-AR"/>
        </w:rPr>
        <w:t xml:space="preserve">Costas en ambas instancias a la parte demandada (arts. 68 2°párr./9 del CPCC).  </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con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noProof/>
          <w:color w:val="000000"/>
          <w:lang w:val="es-AR" w:eastAsia="es-AR" w:bidi="es-AR"/>
        </w:rPr>
        <w:t xml:space="preserve">27308020768@NOTIFICACIONES.SCBA.GOV.AR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AACTIS@FEPBA.GOV.AR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13/07/2021 09:31:13 -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13/07/2021 09:34:40 -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13/07/2021 10:55:55 -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13/07/2021 11:13:49 -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27308020768@NOTIFICACIONES.SCBA.GOV.AR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‰7$")è%5z0vŠ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230402090005219016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4301 - 21 - VEGA, CAROLINA ELISABET C/ PROFE (PROGRAMA FEDERAL INCLUIR SALUD S/AMPARO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‰7$")è%5z0vŠ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230402090005219016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