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b/>
          <w:lang w:val="es-AR" w:eastAsia="es-AR" w:bidi="es-AR"/>
        </w:rPr>
        <w:t xml:space="preserve">Registro N° 85 /</w:t>
      </w:r>
      <w:r>
        <w:rPr>
          <w:b/>
          <w:color w:val="000000"/>
          <w:lang w:val="es-AR" w:eastAsia="es-AR" w:bidi="es-AR"/>
        </w:rPr>
        <w:t xml:space="preserve">2021</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Folio 482/486</w:t>
      </w:r>
    </w:p>
    <w:p>
      <w:pPr>
        <w:pStyle w:val="[Normal]"/>
        <w:spacing w:line="360" w:lineRule="auto"/>
        <w:ind w:firstLine="1134"/>
        <w:jc w:val="both"/>
        <w:rPr>
          <w:lang w:val="es-AR" w:eastAsia="es-AR" w:bidi="es-AR"/>
        </w:rPr>
      </w:pPr>
    </w:p>
    <w:p>
      <w:pPr>
        <w:pStyle w:val="[Normal]"/>
        <w:spacing w:line="360" w:lineRule="auto"/>
        <w:ind w:firstLine="1134"/>
        <w:jc w:val="both"/>
        <w:rPr>
          <w:b/>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3275-18</w:t>
      </w:r>
      <w:r>
        <w:rPr>
          <w:lang w:val="es-AR" w:eastAsia="es-AR" w:bidi="es-AR"/>
        </w:rPr>
        <w:t xml:space="preserve"> caratulados </w:t>
      </w:r>
      <w:r>
        <w:rPr>
          <w:b/>
          <w:lang w:val="es-AR" w:eastAsia="es-AR" w:bidi="es-AR"/>
        </w:rPr>
        <w:t xml:space="preserve">"</w:t>
      </w:r>
      <w:r>
        <w:rPr>
          <w:b/>
          <w:color w:val="000000"/>
          <w:lang w:val="es-AR" w:eastAsia="es-AR" w:bidi="es-AR"/>
        </w:rPr>
        <w:t xml:space="preserve">FISCO DE LA PROVINCIA DE BS.AS. C/ SUC.DE ABEL SAHUD S/ APREMIO</w:t>
      </w:r>
      <w:r>
        <w:rPr>
          <w:b/>
          <w:lang w:val="es-AR" w:eastAsia="es-AR" w:bidi="es-AR"/>
        </w:rPr>
        <w:t xml:space="preserve">",</w:t>
      </w:r>
      <w:r>
        <w:rPr>
          <w:lang w:val="es-AR" w:eastAsia="es-AR" w:bidi="es-AR"/>
        </w:rPr>
        <w:t xml:space="preserve"> Expte. N° 63506 del </w:t>
      </w:r>
      <w:r>
        <w:rPr>
          <w:color w:val="000000"/>
          <w:lang w:val="es-AR" w:eastAsia="es-AR" w:bidi="es-AR"/>
        </w:rPr>
        <w:t xml:space="preserve">Juzgado en lo Civil y Comercial N° 2 </w:t>
      </w:r>
      <w:r>
        <w:rPr>
          <w:lang w:val="es-AR" w:eastAsia="es-AR" w:bidi="es-AR"/>
        </w:rPr>
        <w:t xml:space="preserve">departamental, encontrándose el Dr. Bernardo Louise  excusado en fecha 20/5/2021, se practicó el sorteo de ley que determinó que la votación debía efectuarse en el siguiente orden: Dres. Roberto Manuel Degleue y Graciela Scaraffía, y estudiados los autos se resolvió plantear y votar las siguientes: </w:t>
      </w:r>
    </w:p>
    <w:p>
      <w:pPr>
        <w:pStyle w:val="[Normal]"/>
        <w:spacing w:line="360" w:lineRule="auto"/>
        <w:ind w:firstLine="1134"/>
        <w:jc w:val="both"/>
        <w:rPr>
          <w:color w:val="000000"/>
          <w:lang w:val="es-AR" w:eastAsia="es-AR" w:bidi="es-AR"/>
        </w:rPr>
      </w:pPr>
      <w:r>
        <w:rPr>
          <w:color w:val="000000"/>
          <w:lang w:val="es-AR" w:eastAsia="es-AR" w:bidi="es-AR"/>
        </w:rPr>
        <w:t xml:space="preserve">C U E S T I O N E S:</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el señor Juez, Roberto Manuel Degleue dijo:</w:t>
      </w:r>
    </w:p>
    <w:p>
      <w:pPr>
        <w:pStyle w:val="[Normal]"/>
        <w:spacing w:line="360" w:lineRule="auto"/>
        <w:ind w:firstLine="1134"/>
        <w:jc w:val="both"/>
        <w:rPr>
          <w:color w:val="000000"/>
          <w:lang w:val="es-AR" w:eastAsia="es-AR" w:bidi="es-AR"/>
        </w:rPr>
      </w:pPr>
      <w:r>
        <w:rPr>
          <w:color w:val="000000"/>
          <w:lang w:val="es-AR" w:eastAsia="es-AR" w:bidi="es-AR"/>
        </w:rPr>
        <w:t xml:space="preserve">La señora Juez de la anterior instancia, tomando como base arancelaria el monto de la liquidación practicada por ARBA, reguló los honorarios de los Dres. Carlos Horacio Martínez White y Nicolás Pinco  por la incidencia resuelta en autos en las sumas de cuarenta y cinco mil pesos ($ 45.000) y treinta y cinco mil pesos ($ 35.000), respectivamente.</w:t>
      </w:r>
    </w:p>
    <w:p>
      <w:pPr>
        <w:pStyle w:val="[Normal]"/>
        <w:spacing w:line="360" w:lineRule="auto"/>
        <w:ind w:firstLine="1134"/>
        <w:jc w:val="both"/>
        <w:rPr>
          <w:color w:val="000000"/>
          <w:lang w:val="es-AR" w:eastAsia="es-AR" w:bidi="es-AR"/>
        </w:rPr>
      </w:pPr>
      <w:r>
        <w:rPr>
          <w:color w:val="000000"/>
          <w:lang w:val="es-AR" w:eastAsia="es-AR" w:bidi="es-AR"/>
        </w:rPr>
        <w:t xml:space="preserve">En fecha 21/12/2020, el letrado apoderado de la parte actora apeló dicha resolución, fundando su recurso en el acto de su interposición.</w:t>
      </w:r>
    </w:p>
    <w:p>
      <w:pPr>
        <w:pStyle w:val="[Normal]"/>
        <w:spacing w:line="360" w:lineRule="auto"/>
        <w:ind w:firstLine="1134"/>
        <w:jc w:val="both"/>
        <w:rPr>
          <w:color w:val="000000"/>
          <w:lang w:val="es-AR" w:eastAsia="es-AR" w:bidi="es-AR"/>
        </w:rPr>
      </w:pPr>
      <w:r>
        <w:rPr>
          <w:color w:val="000000"/>
          <w:lang w:val="es-AR" w:eastAsia="es-AR" w:bidi="es-AR"/>
        </w:rPr>
        <w:t xml:space="preserve">Inicia su queja el apelante, manifestando en forma preliminar que la regulación de honorarios practicada, para poder ser ejecutada debe ser notificada por cédula en el domicilio real del obligado al pago y no por ministerio de la ley como dice el despacho y con la transcripción del art. 54 del Dec. Ley 8904, lo cual estima necesario para el computo de los intereses moratorios, pues vencido el plazo de pago (10 días) desde su firmeza quedará conformado el título ejecutorio que permitirá llevar adelante la ejecución.</w:t>
      </w:r>
    </w:p>
    <w:p>
      <w:pPr>
        <w:pStyle w:val="[Normal]"/>
        <w:spacing w:line="360" w:lineRule="auto"/>
        <w:ind w:firstLine="1134"/>
        <w:jc w:val="both"/>
        <w:rPr>
          <w:color w:val="000000"/>
          <w:lang w:val="es-AR" w:eastAsia="es-AR" w:bidi="es-AR"/>
        </w:rPr>
      </w:pPr>
      <w:r>
        <w:rPr>
          <w:color w:val="000000"/>
          <w:lang w:val="es-AR" w:eastAsia="es-AR" w:bidi="es-AR"/>
        </w:rPr>
        <w:t xml:space="preserve">Luego, como segundo agravio apela los honorarios por considerarlos elevados, y al fundamentar su descontento, cuestiona la base regulatoria tomada por el A quo. Sostiene que la liquidación que pueda practicarse en autos no debe comprender un monto actualizado sino que debe ser calculada sin intereses, a valores históricos, pero además debe tomarse el mínimo de la escala legal dispuesta. Ello por cuanto, de lo contrario, se generaría un emolumento absolutamente desproporcionado, injustificado y sin sustento legal.</w:t>
      </w:r>
    </w:p>
    <w:p>
      <w:pPr>
        <w:pStyle w:val="[Normal]"/>
        <w:spacing w:line="360" w:lineRule="auto"/>
        <w:ind w:firstLine="1134"/>
        <w:jc w:val="both"/>
        <w:rPr>
          <w:color w:val="000000"/>
          <w:lang w:val="es-AR" w:eastAsia="es-AR" w:bidi="es-AR"/>
        </w:rPr>
      </w:pPr>
      <w:r>
        <w:rPr>
          <w:color w:val="000000"/>
          <w:lang w:val="es-AR" w:eastAsia="es-AR" w:bidi="es-AR"/>
        </w:rPr>
        <w:t xml:space="preserve">Afirma que debe tomarse el mínimo correspondiente de la escala legal y efectuarse el cálculo sobre el monto histórico y no sobre el monto actualizado, entendiendo que la sentencia de fondo de los presentes autos ha sido favorable al Fisco de la Provincia de Buenos Aires,  condenando con costas a los herederos del ejecutado, y sobre el incidente de levantamiento de cautelares y su pertinente regulación de honorarios, debió aplicarse el art. 23 del Decreto Ley 8904. </w:t>
      </w:r>
    </w:p>
    <w:p>
      <w:pPr>
        <w:pStyle w:val="[Normal]"/>
        <w:spacing w:line="360" w:lineRule="auto"/>
        <w:ind w:firstLine="1134"/>
        <w:jc w:val="both"/>
        <w:rPr>
          <w:color w:val="000000"/>
          <w:lang w:val="es-AR" w:eastAsia="es-AR" w:bidi="es-AR"/>
        </w:rPr>
      </w:pPr>
      <w:r>
        <w:rPr>
          <w:color w:val="000000"/>
          <w:lang w:val="es-AR" w:eastAsia="es-AR" w:bidi="es-AR"/>
        </w:rPr>
        <w:t xml:space="preserve">Sostiene que a pesar de ser el resultado de la demanda favorable al Fisco de la Provincia de Buenos Aires, puede sostenerse que en este caso tiene el mismo alcance que una sentencia rechazada porque no se puede ejecutar y es en ese sentido que deben regularse los emolumentos.</w:t>
      </w:r>
    </w:p>
    <w:p>
      <w:pPr>
        <w:pStyle w:val="[Normal]"/>
        <w:spacing w:line="360" w:lineRule="auto"/>
        <w:ind w:firstLine="1134"/>
        <w:jc w:val="both"/>
        <w:rPr>
          <w:color w:val="000000"/>
          <w:lang w:val="es-AR" w:eastAsia="es-AR" w:bidi="es-AR"/>
        </w:rPr>
      </w:pPr>
      <w:r>
        <w:rPr>
          <w:color w:val="000000"/>
          <w:lang w:val="es-AR" w:eastAsia="es-AR" w:bidi="es-AR"/>
        </w:rPr>
        <w:t xml:space="preserve">Concluye que en casos asimilables al presente  (acción desestimada), a los fines de la regulación de honorarios se debe tener en consideración para la base regulatoria el monto de la demanda, sin intereses, citando antecedentes doctrinarios.</w:t>
      </w:r>
    </w:p>
    <w:p>
      <w:pPr>
        <w:pStyle w:val="[Normal]"/>
        <w:spacing w:line="360" w:lineRule="auto"/>
        <w:ind w:firstLine="1134"/>
        <w:jc w:val="both"/>
        <w:rPr>
          <w:color w:val="000000"/>
          <w:lang w:val="es-AR" w:eastAsia="es-AR" w:bidi="es-AR"/>
        </w:rPr>
      </w:pPr>
      <w:r>
        <w:rPr>
          <w:color w:val="000000"/>
          <w:lang w:val="es-AR" w:eastAsia="es-AR" w:bidi="es-AR"/>
        </w:rPr>
        <w:t xml:space="preserve">Manifiesta que no se puso en duda los alcances del beneficio de inventario, sino que se expuso que al momento de trabarse las Inhibiciones Generales de Bienes por ante el Registro de la Propiedad Inmueble, los herederos del causante, ya habían sacado todos los bienes del acervo hereditario, es decir, habían aprovechado los activos, sin hacerse cargo de los pasivos, incluso con una sentencia de trance y remate en contra firme y consentida. En definitiva, el fisco actor posee una sentencia favorable, pero de imposible cumplimiento, es virtualmente rechazada la demanda, por ello solicita que todo ello sea considerado al momento de analizarse el quantum de la sentencia a los efectos regulatorios.</w:t>
      </w:r>
    </w:p>
    <w:p>
      <w:pPr>
        <w:pStyle w:val="[Normal]"/>
        <w:spacing w:line="360" w:lineRule="auto"/>
        <w:ind w:firstLine="1134"/>
        <w:jc w:val="both"/>
        <w:rPr>
          <w:color w:val="000000"/>
          <w:lang w:val="es-AR" w:eastAsia="es-AR" w:bidi="es-AR"/>
        </w:rPr>
      </w:pPr>
      <w:r>
        <w:rPr>
          <w:color w:val="000000"/>
          <w:lang w:val="es-AR" w:eastAsia="es-AR" w:bidi="es-AR"/>
        </w:rPr>
        <w:t xml:space="preserve">Finalmente solicita se considere la actuación del letrado del demandado y se tenga presente que, cuando el monto de los honorarios debe establecerse judicialmente sobre la base de leyes arancelarias, su determinación debe adecuarse a la labor cumplida por el prestador y que  si la aplicación estricta de los aranceles conduce a una evidente e injustificada desproporción entre la retribución resultante y la importancia de la labor cumplida, el juez puede fijar equitativamente la retribución.</w:t>
      </w:r>
    </w:p>
    <w:p>
      <w:pPr>
        <w:pStyle w:val="[Normal]"/>
        <w:spacing w:line="360" w:lineRule="auto"/>
        <w:ind w:firstLine="1134"/>
        <w:jc w:val="both"/>
        <w:rPr>
          <w:color w:val="000000"/>
          <w:lang w:val="es-AR" w:eastAsia="es-AR" w:bidi="es-AR"/>
        </w:rPr>
      </w:pPr>
      <w:r>
        <w:rPr>
          <w:color w:val="000000"/>
          <w:lang w:val="es-AR" w:eastAsia="es-AR" w:bidi="es-AR"/>
        </w:rPr>
        <w:t xml:space="preserve">Reclama se adecuen los honorarios regulados a las reales labores efectuadas, teniendo en cuenta los porcentuales legalmente dispuestos y que el actor, a pesar de haber obtenido sentencia favorable en el  juicio de apremio, no ha percibido el crédito reclamado.</w:t>
      </w:r>
    </w:p>
    <w:p>
      <w:pPr>
        <w:pStyle w:val="[Normal]"/>
        <w:spacing w:line="360" w:lineRule="auto"/>
        <w:ind w:firstLine="1134"/>
        <w:jc w:val="both"/>
        <w:rPr>
          <w:color w:val="000000"/>
          <w:lang w:val="es-AR" w:eastAsia="es-AR" w:bidi="es-AR"/>
        </w:rPr>
      </w:pPr>
      <w:r>
        <w:rPr>
          <w:color w:val="000000"/>
          <w:lang w:val="es-AR" w:eastAsia="es-AR" w:bidi="es-AR"/>
        </w:rPr>
        <w:t xml:space="preserve">Conferido el traslado pertinente, fue contestado por la contraria mediante la presentación electrónica de fecha 14/5/2021, donde piden el rechazo del recurso, por considerar que el planteo formulado por el apoderado del actor resulta extemporáneo, dado que tuvo la oportunidad de fijar la base regulatoria oportunamente y no lo hizo, consintiendo la que fuera presentada por ARBA. Sostiene que a su parte se le han regulado menos del 6% de la base regulatoria, por debajo de lo establecido en  la norma citada por el recurrente (art. 22 L.13.406), solicitando en definitiva se confirme la regulación dictada en primera instancia, con costas al recurrente.</w:t>
      </w:r>
    </w:p>
    <w:p>
      <w:pPr>
        <w:pStyle w:val="[Normal]"/>
        <w:spacing w:line="360" w:lineRule="auto"/>
        <w:ind w:firstLine="1134"/>
        <w:jc w:val="both"/>
        <w:rPr>
          <w:color w:val="000000"/>
          <w:lang w:val="es-AR" w:eastAsia="es-AR" w:bidi="es-AR"/>
        </w:rPr>
      </w:pPr>
      <w:r>
        <w:rPr>
          <w:color w:val="000000"/>
          <w:lang w:val="es-AR" w:eastAsia="es-AR" w:bidi="es-AR"/>
        </w:rPr>
        <w:t xml:space="preserve">En fecha 20/5/2021 se dictó llamamiento de autos, que habiendo adquirido firmeza, deja la causa en condiciones de ser fallada.</w:t>
      </w:r>
    </w:p>
    <w:p>
      <w:pPr>
        <w:pStyle w:val="[Normal]"/>
        <w:spacing w:line="360" w:lineRule="auto"/>
        <w:ind w:firstLine="1134"/>
        <w:jc w:val="both"/>
        <w:rPr>
          <w:lang w:val="es-AR" w:eastAsia="es-AR" w:bidi="es-AR"/>
        </w:rPr>
      </w:pPr>
      <w:r>
        <w:rPr>
          <w:lang w:val="es-AR" w:eastAsia="es-AR" w:bidi="es-AR"/>
        </w:rPr>
        <w:t xml:space="preserve">Previo a adentrarme en el examen del remedio intentado, considero necesario hacer un análisis de los antecedentes de la causa, haciendo hincapié en las etapas cumplidas.</w:t>
      </w:r>
    </w:p>
    <w:p>
      <w:pPr>
        <w:pStyle w:val="[Normal]"/>
        <w:spacing w:line="360" w:lineRule="auto"/>
        <w:ind w:firstLine="1134"/>
        <w:jc w:val="both"/>
        <w:rPr>
          <w:lang w:val="es-AR" w:eastAsia="es-AR" w:bidi="es-AR"/>
        </w:rPr>
      </w:pPr>
      <w:r>
        <w:rPr>
          <w:lang w:val="es-AR" w:eastAsia="es-AR" w:bidi="es-AR"/>
        </w:rPr>
        <w:t xml:space="preserve">Es que debe tenerse presente que rige  en este procedimiento el principio de preclusión por el cual una facultad que no es ejercida en tiempo y forma se pierde, pues opera como un impedimento o una imposibilidad: la facultad procesal no utilizada, se extingue, impidiendo que se retroceda a etapas procesales ya agotadas.</w:t>
      </w:r>
    </w:p>
    <w:p>
      <w:pPr>
        <w:pStyle w:val="[Normal]"/>
        <w:spacing w:line="360" w:lineRule="auto"/>
        <w:ind w:firstLine="1134"/>
        <w:jc w:val="both"/>
        <w:rPr>
          <w:lang w:val="es-AR" w:eastAsia="es-AR" w:bidi="es-AR"/>
        </w:rPr>
      </w:pPr>
      <w:r>
        <w:rPr>
          <w:lang w:val="es-AR" w:eastAsia="es-AR" w:bidi="es-AR"/>
        </w:rPr>
        <w:t xml:space="preserve">Al respecto se ha dicho que </w:t>
      </w:r>
      <w:r>
        <w:rPr>
          <w:i/>
          <w:lang w:val="es-AR" w:eastAsia="es-AR" w:bidi="es-AR"/>
        </w:rPr>
        <w:t xml:space="preserve">"es  sabido que no ejercida una facultad en tiempo y forma, la  misma  se  pierde  por cuanto la preclusión opera como un impedimento o una imposibilidad: la facultad procesal no utilizada, se extingue"</w:t>
      </w:r>
      <w:r>
        <w:rPr>
          <w:lang w:val="es-AR" w:eastAsia="es-AR" w:bidi="es-AR"/>
        </w:rPr>
        <w:t xml:space="preserve">.(confr. SCBA, Ac.75777 del 13/6/01 ent. ots.) y "..</w:t>
      </w:r>
      <w:r>
        <w:rPr>
          <w:i/>
          <w:lang w:val="es-AR" w:eastAsia="es-AR" w:bidi="es-AR"/>
        </w:rPr>
        <w:t xml:space="preserve">.si una cuestión ha quedado definitivamente resuelta en sentencia firme, no puede ser nuevamente examinada y menos decidida en sentido distinto</w:t>
      </w:r>
      <w:r>
        <w:rPr>
          <w:lang w:val="es-AR" w:eastAsia="es-AR" w:bidi="es-AR"/>
        </w:rPr>
        <w:t xml:space="preserve">".(confr.  SCBA,  Ac.92718 del 26/4/06 ent. ots.)." (CAP Causa 191/09, RSD Nº 81/09).  De ese principio se deriva el de eventualidad, que importa la necesidad de aprovechar cada ocasión procesal íntegramente empleando en acumulación eventual todos los medios de ataque y defensa de que se disponga -es decir en forma conjunta- para que surtan sus efectos ad omnem eventum, es decir, estar prevenido por si uno o varios de ellos no los producen (Morello.., ob.cit., Tº I, Bs.As. 1982, pág. 621 y ss.).</w:t>
      </w:r>
    </w:p>
    <w:p>
      <w:pPr>
        <w:pStyle w:val="[Normal]"/>
        <w:spacing w:line="360" w:lineRule="auto"/>
        <w:ind w:firstLine="1134"/>
        <w:jc w:val="both"/>
        <w:rPr>
          <w:color w:val="000000"/>
          <w:lang w:val="es-AR" w:eastAsia="es-AR" w:bidi="es-AR"/>
        </w:rPr>
      </w:pPr>
      <w:r>
        <w:rPr>
          <w:color w:val="000000"/>
          <w:lang w:val="es-AR" w:eastAsia="es-AR" w:bidi="es-AR"/>
        </w:rPr>
        <w:t xml:space="preserve">En el Apremio traído, se ha dictado sentencia de trance y remate en fecha 3/7/2012, en la que se </w:t>
      </w:r>
      <w:r>
        <w:rPr>
          <w:lang w:val="es-AR" w:eastAsia="es-AR" w:bidi="es-AR"/>
        </w:rPr>
        <w:t xml:space="preserve">rechazó las defensas opuestas por los ejecutados sucesores del contribuyente y se los condenó -a ABEL SAHUD- DIEGO SAHUD, GUILLERMO GABRIEL SAHUD Y VERONICA SAHUD-,  en su carácter de herederos a abonar al Fisco de la Provincia de BS. AS., la suma reclamada de  $ 129.633,85 con más los intereses legales ( art. 83 y ccs. Ley Fiscal ), desde la fecha de la mora (31/05/2008 tal como se pide).- Aclarando que, han de responder en la extensión y proporción de lo que han de recibir por sucesión. L</w:t>
      </w:r>
      <w:r>
        <w:rPr>
          <w:color w:val="000000"/>
          <w:lang w:val="es-AR" w:eastAsia="es-AR" w:bidi="es-AR"/>
        </w:rPr>
        <w:t xml:space="preserve">a referida sentencia se encuentra firme y consentida. Tal cuestión echa por tierra el agravio planteado</w:t>
      </w:r>
      <w:r>
        <w:rPr>
          <w:i/>
          <w:color w:val="000000"/>
          <w:lang w:val="es-AR" w:eastAsia="es-AR" w:bidi="es-AR"/>
        </w:rPr>
        <w:t xml:space="preserve"> "en cuanto se tenga en cuenta que en autos se rechazó la demanda y nos encontramos ante un supuesto donde la base regulatoria es el monto de la demanda sin intereses"</w:t>
      </w:r>
      <w:r>
        <w:rPr>
          <w:color w:val="000000"/>
          <w:lang w:val="es-AR" w:eastAsia="es-AR" w:bidi="es-AR"/>
        </w:rPr>
        <w:t xml:space="preserve">. Ello no es así, pues todo lo contrario, se hizo lugar a la misma por el monto de capital mas los intereses.</w:t>
      </w:r>
    </w:p>
    <w:p>
      <w:pPr>
        <w:pStyle w:val="[Normal]"/>
        <w:spacing w:line="360" w:lineRule="auto"/>
        <w:ind w:firstLine="1134"/>
        <w:jc w:val="both"/>
        <w:rPr>
          <w:color w:val="000000"/>
          <w:lang w:val="es-AR" w:eastAsia="es-AR" w:bidi="es-AR"/>
        </w:rPr>
      </w:pPr>
      <w:r>
        <w:rPr>
          <w:color w:val="000000"/>
          <w:lang w:val="es-AR" w:eastAsia="es-AR" w:bidi="es-AR"/>
        </w:rPr>
        <w:t xml:space="preserve">Es que, </w:t>
      </w:r>
      <w:r>
        <w:rPr>
          <w:i/>
          <w:color w:val="000000"/>
          <w:lang w:val="es-AR" w:eastAsia="es-AR" w:bidi="es-AR"/>
        </w:rPr>
        <w:t xml:space="preserve">"tratándose de un juicio de apremio no caben dudas de que el mismo configura una especie dentro del género "juicios por cobro de sumas de dinero", razón por la cual la base regulatoria de honorarios en el mismo, está dada por el monto de la demanda, o si fuere mayor, el de la liquidación que resulte de la sentencia, según prescribe el art. 23 de la ley arancelaria local (dec. ley 8904/77)...el juicio ya había concluido con el dictado de la correspondiente sentencia de trance y remate, firme, el monto del mismo a los fines regulatorios está determinado por el citado artículo 23 del decreto ley 8904/77."</w:t>
      </w:r>
      <w:r>
        <w:rPr>
          <w:color w:val="000000"/>
          <w:lang w:val="es-AR" w:eastAsia="es-AR" w:bidi="es-AR"/>
        </w:rPr>
        <w:t xml:space="preserve"> (CC0201 LP 96218 RSD-212-1 S 28/08/2001 Juez SOSA (SD), SUMARIO JUBA B254139). En consecuencia el monto a los fines regulatorios no es otro que el que se determine por liquidación, pues corresponde una determinación atento a que existe un monto determinado ($129.633,85) mas intereses (ver sentencia de fecha 3/7/12).</w:t>
      </w:r>
    </w:p>
    <w:p>
      <w:pPr>
        <w:pStyle w:val="[Normal]"/>
        <w:spacing w:line="360" w:lineRule="auto"/>
        <w:ind w:firstLine="1134"/>
        <w:jc w:val="both"/>
        <w:rPr>
          <w:color w:val="000000"/>
          <w:lang w:val="es-AR" w:eastAsia="es-AR" w:bidi="es-AR"/>
        </w:rPr>
      </w:pPr>
      <w:r>
        <w:rPr>
          <w:color w:val="000000"/>
          <w:lang w:val="es-AR" w:eastAsia="es-AR" w:bidi="es-AR"/>
        </w:rPr>
        <w:t xml:space="preserve">Luego, se inició en autos una incidencia cuyo principal objetivo era el levantamiento de la cautelar trabada que era una inhibición de bienes. Tal controversia fue sustanciada entre las partes y resuelta en el interlocutorio de fecha 13/3/2018. El a quo en dicha resolución difirió la regulación de honorarios invocando el art. 37 de la ley 14.967.</w:t>
      </w:r>
      <w:r>
        <w:rPr>
          <w:i/>
          <w:color w:val="000000"/>
          <w:lang w:val="es-AR" w:eastAsia="es-AR" w:bidi="es-AR"/>
        </w:rPr>
        <w:t xml:space="preserve"> </w:t>
      </w:r>
      <w:r>
        <w:rPr>
          <w:color w:val="000000"/>
          <w:lang w:val="es-AR" w:eastAsia="es-AR" w:bidi="es-AR"/>
        </w:rPr>
        <w:t xml:space="preserve">Tal resolución fue confirmada por esta Alzada mediante sentencia de fecha 18/9/2018. </w:t>
      </w:r>
    </w:p>
    <w:p>
      <w:pPr>
        <w:pStyle w:val="[Normal]"/>
        <w:spacing w:line="360" w:lineRule="auto"/>
        <w:ind w:firstLine="1134"/>
        <w:jc w:val="both"/>
        <w:rPr>
          <w:lang w:val="es-AR" w:eastAsia="es-AR" w:bidi="es-AR"/>
        </w:rPr>
      </w:pPr>
      <w:r>
        <w:rPr>
          <w:color w:val="000000"/>
          <w:lang w:val="es-AR" w:eastAsia="es-AR" w:bidi="es-AR"/>
        </w:rPr>
        <w:t xml:space="preserve">Sin embargo</w:t>
      </w:r>
      <w:r>
        <w:rPr>
          <w:i/>
          <w:color w:val="000000"/>
          <w:lang w:val="es-AR" w:eastAsia="es-AR" w:bidi="es-AR"/>
        </w:rPr>
        <w:t xml:space="preserve">,</w:t>
      </w:r>
      <w:r>
        <w:rPr>
          <w:lang w:val="es-AR" w:eastAsia="es-AR" w:bidi="es-AR"/>
        </w:rPr>
        <w:t xml:space="preserve"> ha de meritarse en la especie que el incidente de levantamiento de la cautelar no ha sido deducido dentro de una medida cautelar autónoma o independiente del juicio principal sino dentro de éste último. Esta conclusión lleva a que se considere, a la así devengada como una labor regular de acuerdo a lo dispuesto por el art. 47 de la ley 14.967 para los incidentes (cfr. CC0001 AZ 45911 RSI-42-3 I 23/04/2003 JUBA B1050624) (cfr. Hitters-Cairo, "Honorarios de Abogados y Procuradores", ed. Lexis Nexis, año 2007, pág. 463).- </w:t>
      </w:r>
    </w:p>
    <w:p>
      <w:pPr>
        <w:pStyle w:val="[Normal]"/>
        <w:spacing w:line="360" w:lineRule="auto"/>
        <w:ind w:firstLine="1134"/>
        <w:jc w:val="both"/>
        <w:rPr>
          <w:color w:val="000000"/>
          <w:lang w:val="es-AR" w:eastAsia="es-AR" w:bidi="es-AR"/>
        </w:rPr>
      </w:pPr>
      <w:r>
        <w:rPr>
          <w:lang w:val="es-AR" w:eastAsia="es-AR" w:bidi="es-AR"/>
        </w:rPr>
        <w:t xml:space="preserve">Dicha norma prevé que la paga a los profesionales que actuaren en un incidente, se establecerá entre el 10% y 30% de la escala del artículo 21, que llevándolo a la realidad arroja un porcentual del 0,8% al 7,5%. Y que éste último siempre debe surgir del monto del principal, a excepción de que el incidente tenga valor económico autónomo y resulte menor (cfr. Hitters-Cairo, "Honorarios de Abogados y Procuradores", ed. Lexis Nexis, año 2007, págs. 539).-</w:t>
      </w:r>
    </w:p>
    <w:p>
      <w:pPr>
        <w:pStyle w:val="[Normal]"/>
        <w:spacing w:line="360" w:lineRule="auto"/>
        <w:ind w:firstLine="1134"/>
        <w:jc w:val="both"/>
        <w:rPr>
          <w:color w:val="000000"/>
          <w:lang w:val="es-AR" w:eastAsia="es-AR" w:bidi="es-AR"/>
        </w:rPr>
      </w:pPr>
      <w:r>
        <w:rPr>
          <w:color w:val="000000"/>
          <w:lang w:val="es-AR" w:eastAsia="es-AR" w:bidi="es-AR"/>
        </w:rPr>
        <w:t xml:space="preserve">A los fines de determinar la base, ante el pedido de la demandada y la omisión de la ejecutante, se ordenó mediante oficio a ARBA que presente liquidación de la deuda actualizada, la que fuera presentada en fecha 21/10/2020. En fecha 4/11/20 se intimó a la actora a practicar liquidación, quien en su escrito presentado en fecha 20/11/20, solicitó el rechazo del pedido de liquidación, por no resultar el momento procesal oportuno, omitiendo en ese momento realizar su propio cálculo para determinar la base. </w:t>
      </w:r>
    </w:p>
    <w:p>
      <w:pPr>
        <w:pStyle w:val="[Normal]"/>
        <w:spacing w:line="360" w:lineRule="auto"/>
        <w:ind w:firstLine="1134"/>
        <w:jc w:val="both"/>
        <w:rPr>
          <w:color w:val="000000"/>
          <w:lang w:val="es-AR" w:eastAsia="es-AR" w:bidi="es-AR"/>
        </w:rPr>
      </w:pPr>
      <w:r>
        <w:rPr>
          <w:color w:val="000000"/>
          <w:lang w:val="es-AR" w:eastAsia="es-AR" w:bidi="es-AR"/>
        </w:rPr>
        <w:t xml:space="preserve">Es que, "</w:t>
      </w:r>
      <w:r>
        <w:rPr>
          <w:i/>
          <w:color w:val="000000"/>
          <w:lang w:val="es-AR" w:eastAsia="es-AR" w:bidi="es-AR"/>
        </w:rPr>
        <w:t xml:space="preserve">tratándose de liquidaciones, quien intente su impugnación con éxito debe ineludiblemente demostrar precisamente cuál es el error en que se incurrió y cómo debió ser el cálculo correcto para patentizar cual es el concreto perjuicio que le causa, que no puede ser otro que la falta de ajuste al decisorio en que se basa el cálculo o la comisión de error matemático. Habida cuenta de ello, es manifiestamente improcedente la impugnación a una liquidación con la afirmación dogmática de no haber sido realizada conforme a derecho, y por ser extremadamente abultada y no coincidir con la realidad</w:t>
      </w:r>
      <w:r>
        <w:rPr>
          <w:color w:val="000000"/>
          <w:lang w:val="es-AR" w:eastAsia="es-AR" w:bidi="es-AR"/>
        </w:rPr>
        <w:t xml:space="preserve">" (Luis A. rodriguez Saiach, Procesos de Ejecución en la Provincia de Bs As., Ed. Abeledo Perrot, Ed. 2008, pag.832). Simplemente se limitó a rechazar por improcedente el pedido del letrado del demandado.</w:t>
      </w:r>
    </w:p>
    <w:p>
      <w:pPr>
        <w:pStyle w:val="[Normal]"/>
        <w:spacing w:line="360" w:lineRule="auto"/>
        <w:ind w:firstLine="1134"/>
        <w:jc w:val="both"/>
        <w:rPr>
          <w:color w:val="000000"/>
          <w:lang w:val="es-AR" w:eastAsia="es-AR" w:bidi="es-AR"/>
        </w:rPr>
      </w:pPr>
      <w:r>
        <w:rPr>
          <w:color w:val="000000"/>
          <w:lang w:val="es-AR" w:eastAsia="es-AR" w:bidi="es-AR"/>
        </w:rPr>
        <w:t xml:space="preserve">Finalmente, la Magistrada determinó los honorarios, tomando como base la fijada por ARBA, conforme surge de la resolución de fecha 10/12/2020, y reguló por la incidencia resuelta, con costas a la parte vencida e invocando el art. 47 del D/Ley 8904. Esta Alzada en oportunidad de resolver el pedido de levantamiento, al tratar el agravio sobre las costas, hizo hincapié en que "</w:t>
      </w:r>
      <w:r>
        <w:rPr>
          <w:i/>
          <w:color w:val="000000"/>
          <w:lang w:val="es-AR" w:eastAsia="es-AR" w:bidi="es-AR"/>
        </w:rPr>
        <w:t xml:space="preserve">...no cabe asignarle virtualidad al rechazo de las excepciones a los efectos de la atribución de los gastos causídicos, ya que dicho tópico es ajeno a la específica incidencia cautelar que ha sido apelada (art. 69 del CPCCBA)...</w:t>
      </w:r>
      <w:r>
        <w:rPr>
          <w:color w:val="000000"/>
          <w:lang w:val="es-AR" w:eastAsia="es-AR" w:bidi="es-AR"/>
        </w:rPr>
        <w:t xml:space="preserve">". Claramente son cuestiones que si bien están de algún modo vinculadas, el incidente del levantamiento es independiente de la acción principal del apremio, pues se sustanció con los herederos que no eran los principales obligados al pago del título, y fue resuelto favorablemente de acuerdo a las constancias apuntadas.</w:t>
      </w:r>
    </w:p>
    <w:p>
      <w:pPr>
        <w:pStyle w:val="[Normal]"/>
        <w:spacing w:line="360" w:lineRule="auto"/>
        <w:ind w:firstLine="1134"/>
        <w:jc w:val="both"/>
        <w:rPr>
          <w:color w:val="000000"/>
          <w:lang w:val="es-AR" w:eastAsia="es-AR" w:bidi="es-AR"/>
        </w:rPr>
      </w:pPr>
      <w:r>
        <w:rPr>
          <w:color w:val="000000"/>
          <w:lang w:val="es-AR" w:eastAsia="es-AR" w:bidi="es-AR"/>
        </w:rPr>
        <w:t xml:space="preserve">Asimismo, la accionante no hizo uso de la facultad establecida en el código del rito de practicar la liquidación (art. 589 del CPC), la cual podría haber realizado la quita de los intereses si lo consideraba menester, o determinar el monto conforme la sentencia. Nada de eso pasó. La liquidación se practicó al sólo efecto regulatorio y por la incidencia habida entre las partes respecto al levantamiento de la inhibición trabadas en autos (art. 47 y ccs. del D/Ley 8904).</w:t>
      </w:r>
    </w:p>
    <w:p>
      <w:pPr>
        <w:pStyle w:val="[Normal]"/>
        <w:spacing w:line="360" w:lineRule="auto"/>
        <w:ind w:firstLine="1134"/>
        <w:jc w:val="both"/>
        <w:rPr>
          <w:lang w:val="es-AR" w:eastAsia="es-AR" w:bidi="es-AR"/>
        </w:rPr>
      </w:pPr>
      <w:r>
        <w:rPr>
          <w:lang w:val="es-AR" w:eastAsia="es-AR" w:bidi="es-AR"/>
        </w:rPr>
        <w:t xml:space="preserve">En definitiva, estimo que la cuestión quedó bien enmarcada en la causa en lo dispuesto en el art. 47 de la ley arancelaria, por lo tanto y luego de hacer los cálculos, concluyo que la regulación dictada en la anterior instancia se encuentra ajustada a derecho, dado que no supera el máximo ni está por debajo del mínimo establecido por la ley arancelaria, correspondiendo en consecuencia proponer al acuerdo la confirmación de la regulación de honorarios practicada en la instancia de origen.</w:t>
      </w:r>
    </w:p>
    <w:p>
      <w:pPr>
        <w:pStyle w:val="[Normal]"/>
        <w:spacing w:line="360" w:lineRule="auto"/>
        <w:ind w:firstLine="1134"/>
        <w:jc w:val="both"/>
        <w:rPr>
          <w:color w:val="000000"/>
          <w:lang w:val="es-AR" w:eastAsia="es-AR" w:bidi="es-AR"/>
        </w:rPr>
      </w:pPr>
      <w:r>
        <w:rPr>
          <w:color w:val="000000"/>
          <w:lang w:val="es-AR" w:eastAsia="es-AR" w:bidi="es-AR"/>
        </w:rPr>
        <w:t xml:space="preserve">Por último, he de tratar el primer agravio indicado por el ejecutante que cuestionaba el modo en que ha sido ordenada la notificación de la regulación de los honorarios. El mismo debe ser desestimado porque la cuestión devino en abstracta, en razón de las cédulas agregadas en fechas 13/5/21 y 22/6/21, pues ambas fueron confeccionadas y diligenciadas con la transcripción del art. 54 de la L.H., conforme fuera solicitado por el recurrente, desapareciendo con ello el fundamento principal de su agravio.</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b/>
          <w:color w:val="000000"/>
          <w:lang w:val="es-AR" w:eastAsia="es-AR" w:bidi="es-AR"/>
        </w:rPr>
        <w:t xml:space="preserve">VOTO POR LA AFIRMATIVA.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Graciela Scaraffia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CUESTION el señor Juez Roberto Manuel Degleue dijo: 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deducido y confirmar el auto regulatorio de fecha 10/12/2020.</w:t>
      </w:r>
    </w:p>
    <w:p>
      <w:pPr>
        <w:pStyle w:val="[Normal]"/>
        <w:spacing w:line="360" w:lineRule="auto"/>
        <w:ind w:firstLine="1134"/>
        <w:jc w:val="both"/>
        <w:rPr>
          <w:color w:val="000000"/>
          <w:lang w:val="es-AR" w:eastAsia="es-AR" w:bidi="es-AR"/>
        </w:rPr>
      </w:pPr>
      <w:r>
        <w:rPr>
          <w:lang w:val="es-AR" w:eastAsia="es-AR" w:bidi="es-AR"/>
        </w:rPr>
        <w:t xml:space="preserve">Costas de Alzada al apelante devinto (art. 68/9 del CPCC).</w:t>
      </w:r>
    </w:p>
    <w:p>
      <w:pPr>
        <w:pStyle w:val="[Normal]"/>
        <w:spacing w:line="360" w:lineRule="auto"/>
        <w:ind w:firstLine="1134"/>
        <w:jc w:val="both"/>
        <w:rPr>
          <w:color w:val="000000"/>
          <w:lang w:val="es-AR" w:eastAsia="es-AR" w:bidi="es-AR"/>
        </w:rPr>
      </w:pPr>
      <w:r>
        <w:rPr>
          <w:b/>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la señora Jueza Graciela Scaraffia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deducido y confirmar el auto regulatorio de fecha 10/12/2020.</w:t>
      </w:r>
    </w:p>
    <w:p>
      <w:pPr>
        <w:pStyle w:val="[Normal]"/>
        <w:spacing w:line="360" w:lineRule="auto"/>
        <w:ind w:firstLine="1134"/>
        <w:jc w:val="both"/>
        <w:rPr>
          <w:color w:val="000000"/>
          <w:lang w:val="es-AR" w:eastAsia="es-AR" w:bidi="es-AR"/>
        </w:rPr>
      </w:pPr>
      <w:r>
        <w:rPr>
          <w:lang w:val="es-AR" w:eastAsia="es-AR" w:bidi="es-AR"/>
        </w:rPr>
        <w:t xml:space="preserve">Costas de Alzada al apelante devinto (art. 68/9 del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r>
        <w:rPr>
          <w:color w:val="000000"/>
          <w:lang w:val="es-AR" w:eastAsia="es-AR" w:bidi="es-AR"/>
        </w:rPr>
        <w:t xml:space="preserve">20245244054@NOTIFICACIONES.SCBA.GOV.AR</w:t>
      </w:r>
    </w:p>
    <w:p>
      <w:pPr>
        <w:pStyle w:val="[Normal]"/>
        <w:spacing w:line="360" w:lineRule="auto"/>
        <w:ind w:firstLine="1134"/>
        <w:rPr>
          <w:color w:val="000000"/>
          <w:lang w:val="es-AR" w:eastAsia="es-AR" w:bidi="es-AR"/>
        </w:rPr>
      </w:pPr>
      <w:r>
        <w:rPr>
          <w:color w:val="000000"/>
          <w:lang w:val="es-AR" w:eastAsia="es-AR" w:bidi="es-AR"/>
        </w:rPr>
        <w:t xml:space="preserve">20216014104@NOTIFICACIONES.SCBA.GOV.AR</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03/08/2021 09:32:05 -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03/08/2021 10:17:42 -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03/08/2021 11:50:38 -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20216014104@NOTIFICACIONES.SCBA.GOV.AR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20245244054@NOTIFICACIONES.SCBA.GOV.AR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‰7{")è%3x"!Š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239102090005198802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6" w:h="16837"/>
      <w:pgMar w:top="3402"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rPr>
              <w:b/>
              <w:color w:val="000000"/>
              <w:sz w:val="20"/>
              <w:lang w:val="es-AR" w:eastAsia="es-AR" w:bidi="es-AR"/>
            </w:rPr>
          </w:pPr>
          <w:r>
            <w:rPr>
              <w:b/>
              <w:color w:val="000000"/>
              <w:sz w:val="20"/>
              <w:lang w:val="es-AR" w:eastAsia="es-AR" w:bidi="es-AR"/>
            </w:rPr>
            <w:t xml:space="preserve">3275 - 18 - FISCO DE LA PROVINCIA DE BS.AS. C/ SUC.DE ABEL SAHUD S/ APREMIO   </w:t>
          </w:r>
        </w:p>
        <w:p>
          <w:pPr>
            <w:pStyle w:val="[Normal]"/>
            <w:jc w:val="right"/>
            <w:rPr>
              <w:lang w:val="es-AR" w:eastAsia="es-AR" w:bidi="es-AR"/>
            </w:rPr>
          </w:pPr>
          <w:r>
            <w:rPr>
              <w:rFonts w:ascii="BarCode 128" w:hAnsi="BarCode 128" w:eastAsia="BarCode 128" w:cs="BarCode 128"/>
              <w:color w:val="000000"/>
              <w:sz w:val="50"/>
              <w:lang w:val="es-AR" w:eastAsia="es-AR" w:bidi="es-AR"/>
            </w:rPr>
            <w:t xml:space="preserve">‰7{")è%3x"!Š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