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lang w:val="es-AR" w:eastAsia="es-AR" w:bidi="es-AR"/>
        </w:rPr>
      </w:pPr>
      <w:r>
        <w:rPr>
          <w:b/>
          <w:lang w:val="es-AR" w:eastAsia="es-AR" w:bidi="es-AR"/>
        </w:rPr>
        <w:t xml:space="preserve">	Registro N° 90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507/512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3448-18</w:t>
      </w:r>
      <w:r>
        <w:rPr>
          <w:lang w:val="es-AR" w:eastAsia="es-AR" w:bidi="es-AR"/>
        </w:rPr>
        <w:t xml:space="preserve"> caratulada </w:t>
      </w:r>
      <w:r>
        <w:rPr>
          <w:b/>
          <w:lang w:val="es-AR" w:eastAsia="es-AR" w:bidi="es-AR"/>
        </w:rPr>
        <w:t xml:space="preserve">"</w:t>
      </w:r>
      <w:r>
        <w:rPr>
          <w:b/>
          <w:color w:val="000000"/>
          <w:lang w:val="es-AR" w:eastAsia="es-AR" w:bidi="es-AR"/>
        </w:rPr>
        <w:t xml:space="preserve">MIERES FUSTER ANALIA ANGELICA C/ DOMINGUEZ JUAN RAMON Y OTRO/A S/ SIMULACION</w:t>
      </w:r>
      <w:r>
        <w:rPr>
          <w:b/>
          <w:lang w:val="es-AR" w:eastAsia="es-AR" w:bidi="es-AR"/>
        </w:rPr>
        <w:t xml:space="preserve">"</w:t>
      </w:r>
      <w:r>
        <w:rPr>
          <w:lang w:val="es-AR" w:eastAsia="es-AR" w:bidi="es-AR"/>
        </w:rPr>
        <w:t xml:space="preserve">, Expte. N° </w:t>
      </w:r>
      <w:r>
        <w:rPr>
          <w:color w:val="000000"/>
          <w:lang w:val="es-AR" w:eastAsia="es-AR" w:bidi="es-AR"/>
        </w:rPr>
        <w:t xml:space="preserve">59.982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que instaurara </w:t>
      </w:r>
      <w:r>
        <w:rPr>
          <w:color w:val="000000"/>
          <w:lang w:val="es-AR" w:eastAsia="es-AR" w:bidi="es-AR"/>
        </w:rPr>
        <w:t xml:space="preserve">Mieres Fuster Analía Angélica</w:t>
      </w:r>
      <w:r>
        <w:rPr>
          <w:lang w:val="es-AR" w:eastAsia="es-AR" w:bidi="es-AR"/>
        </w:rPr>
        <w:t xml:space="preserve"> por vía de juicio sumario contra</w:t>
      </w:r>
      <w:r>
        <w:rPr>
          <w:color w:val="000000"/>
          <w:lang w:val="es-AR" w:eastAsia="es-AR" w:bidi="es-AR"/>
        </w:rPr>
        <w:t xml:space="preserve"> Dominguez Juan Francisco y Dominguez Juan Ramón. </w:t>
      </w:r>
      <w:r>
        <w:rPr>
          <w:lang w:val="es-AR" w:eastAsia="es-AR" w:bidi="es-AR"/>
        </w:rPr>
        <w:t xml:space="preserve"> Aplicó las costas a la parte actora que resulta vencida (Art. 68 C.P.C.). Difirió  la regulación de los honorarios profesionales a los letrados, y demás profesionales intervinientes, hasta que exista liquidación para ello (Art. 23 y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presentado por la parte  actora el 07/05/2021, concedido libremente y en ambos efectos con fecha 11/05/2021.  El día 13/05/2021 se ordenó expresar agravios a la apelante , quien los funda el 26/05/2021.  Con fecha  27/05/2021 se ordenó el traslado a la contraparte. El 24/06/2021 no habiendo la demandada evacuado el traslado conferido se le dio por perdido el derecho dejado de usa y se llamó autos para dictar sentencia, providencia que firme a la fecha deja la causa en condiciones de ser fallada. </w:t>
      </w:r>
    </w:p>
    <w:p>
      <w:pPr>
        <w:pStyle w:val="[Normal]"/>
        <w:spacing w:line="360" w:lineRule="auto"/>
        <w:ind w:firstLine="1134"/>
        <w:jc w:val="both"/>
        <w:rPr>
          <w:lang w:val="es-AR" w:eastAsia="es-AR" w:bidi="es-AR"/>
        </w:rPr>
      </w:pPr>
      <w:r>
        <w:rPr>
          <w:lang w:val="es-AR" w:eastAsia="es-AR" w:bidi="es-AR"/>
        </w:rPr>
        <w:t xml:space="preserve">Señala la doliente que hubo un déficit en la valoración probatoria y repite el contenido expositivo de la demanda. Relata que la adquisición del inmueble fue previamente consensuada con el demandado (ex pareja) antes de concretar la operación, asumiendo el compromiso el accionado  de efectivizar la compra, apuntando la quejosa que no sabía que el mismo fue inscripto a nombre del sobrino.  Expresa que la residencia de la pareja y el desarrollo negocial entre ambos fue acreditado en autos enumerando la documental pertinente, extrayendo que la pareja Mieres - Dominguez desde antes del año 2008 vivió en Avda de Mayo 1711, señalando que desconocía la ajeneidad del inmueble y que residieran en calidad de inquilinos, como pretende hacer valer el demandado.</w:t>
      </w:r>
    </w:p>
    <w:p>
      <w:pPr>
        <w:pStyle w:val="[Normal]"/>
        <w:spacing w:line="360" w:lineRule="auto"/>
        <w:ind w:firstLine="1134"/>
        <w:jc w:val="both"/>
        <w:rPr>
          <w:lang w:val="es-AR" w:eastAsia="es-AR" w:bidi="es-AR"/>
        </w:rPr>
      </w:pPr>
      <w:r>
        <w:rPr>
          <w:lang w:val="es-AR" w:eastAsia="es-AR" w:bidi="es-AR"/>
        </w:rPr>
        <w:t xml:space="preserve">Achaca que no se han evaluado contratos de locación anteriores al celebrado el 10 de diciembre de 2015 -apuntando que no se presentaron porque no existían-, que asimismo no se acompañaron recibos de pago de alquiler y por último que fue el demandado admitió implícitamente que su sobrino Juan Francisco Dominguez carece de recursos propios para adquirir una propiedad en la Avenida, exponiendo que el dinero vino de su padre fallecido. </w:t>
      </w:r>
    </w:p>
    <w:p>
      <w:pPr>
        <w:pStyle w:val="[Normal]"/>
        <w:spacing w:line="360" w:lineRule="auto"/>
        <w:ind w:firstLine="1134"/>
        <w:jc w:val="both"/>
        <w:rPr>
          <w:lang w:val="es-AR" w:eastAsia="es-AR" w:bidi="es-AR"/>
        </w:rPr>
      </w:pPr>
      <w:r>
        <w:rPr>
          <w:lang w:val="es-AR" w:eastAsia="es-AR" w:bidi="es-AR"/>
        </w:rPr>
        <w:t xml:space="preserve">Reitera conceptos de la demanda, señalando que Juan Francisco Dominguez nunca accedió a la posesión material del inmueble en cuestión, ni ejercicio de actos o hechos que puedan evidenciarse como prueba para ser considerado dueño del mismo, afirmando que no se concretó la transmisión negocial.  Dice que esos argumentos alcanzan para explicar el acto simulado llevado a cabo en perjuicio de la doliente, o sea la adquisición del lote por parte del sobrino de Juan Ramón Dominguez y de las mejoras que le atribuye a aquél.  Reprocha la interpretación del aquo afirmando que trabajó y ahorró dinero para adquirir la propiedad señalada, junto a su ex pareja Dominguez, pero que no compartió la formalización  de la compra y su inscripción en el Registro de la Propiedad dejando todo en manos de Dominguez en razón de la confianza que tenía con él, y que esto el Juez no lo tuvo en cuenta.  Que se anotició a nombre de quien estaba el inmueble mucho tiempo después cuando gestionó información para el juicio de alimentos del hijo menor de edad, señalando que de haber sabido eso jamás hubiera realizado las mejoras que dice haber concretado en el lugar, controvirtiendo la afirmación del aquo que la indica como una persona avezada en el mundo de los negocios.  Enumera la quejosa su titularidad registral sobre siete automóviles y una embarcación deportiva, así como la titularidad de un comercio de venta al por menor, para demostrar que tiene capacidad económica en punto a la adquisición del inmueble de calle Avda de Mayo.  Pide se revoque la sentencia dictada.</w:t>
      </w:r>
    </w:p>
    <w:p>
      <w:pPr>
        <w:pStyle w:val="[Normal]"/>
        <w:spacing w:line="360" w:lineRule="auto"/>
        <w:ind w:firstLine="1134"/>
        <w:jc w:val="both"/>
        <w:rPr>
          <w:lang w:val="es-AR" w:eastAsia="es-AR" w:bidi="es-AR"/>
        </w:rPr>
      </w:pPr>
      <w:r>
        <w:rPr>
          <w:lang w:val="es-AR" w:eastAsia="es-AR" w:bidi="es-AR"/>
        </w:rPr>
        <w:t xml:space="preserve">Entrando a resolver han llegado a revisión  los autos a esta Alzada por conducto del recurso de apelación deducido por la quejosa con el patrocinio letrado del Dr Rodolfo Alberto Migliaro, contra la sentencia de grado que desestima la demanda promovida, por medio de la cual la actora solicitara la nulidad por acción de simulación de la operación de compraventa concretada el 18 de diciembre de 2007 en Escritura Pública Nro 331 y el cobro de pesos por mejoras que fuera deducido en subsidio.</w:t>
      </w:r>
    </w:p>
    <w:p>
      <w:pPr>
        <w:pStyle w:val="[Normal]"/>
        <w:spacing w:line="360" w:lineRule="auto"/>
        <w:ind w:firstLine="1134"/>
        <w:jc w:val="both"/>
        <w:rPr>
          <w:lang w:val="es-AR" w:eastAsia="es-AR" w:bidi="es-AR"/>
        </w:rPr>
      </w:pPr>
      <w:r>
        <w:rPr>
          <w:lang w:val="es-AR" w:eastAsia="es-AR" w:bidi="es-AR"/>
        </w:rPr>
        <w:t xml:space="preserve">En su medulosa sentencia el juez de grado ha aplicado el art. 955 del Código Civil Velezano, teniendo en cuenta la fecha del hecho y por reenvío del art. 7 del Código Civil Unificado, explayándose sobre aspectos conceptuales de la figura en cuestión, distinguiendo la simulación que interesa a la naturaleza del acto, o de alguno de sus elementos, o los sujetos que intervienen; apareciendo aquí el supuesto de interposición de persona que puede ser de tres clases a) la convención de testaferro b) la interposición real y c) la interposición fiduciaria siguiendo la doctrina de Belluscio -Zannoni Editorial Astrea T 4, pág. 395. En línea con esos autores que acogen la doctrina mayoritaria que indica que la simulación requiere acuerdo simulatorio entre los otorgantes del acto, primando la tesis que descarta en los casos de interposición de persona, la existencia de un negocio simulado.</w:t>
      </w:r>
    </w:p>
    <w:p>
      <w:pPr>
        <w:pStyle w:val="[Normal]"/>
        <w:spacing w:line="360" w:lineRule="auto"/>
        <w:ind w:firstLine="1134"/>
        <w:jc w:val="both"/>
        <w:rPr>
          <w:lang w:val="es-AR" w:eastAsia="es-AR" w:bidi="es-AR"/>
        </w:rPr>
      </w:pPr>
      <w:r>
        <w:rPr>
          <w:lang w:val="es-AR" w:eastAsia="es-AR" w:bidi="es-AR"/>
        </w:rPr>
        <w:t xml:space="preserve">Postura esta adoptada por este Tribunal en la causa citada por el sentenciante de grado en autos 1547/12 "Concilio Juan José y otro c/ de Francesco Juan Carlos s/ Simulación" sentencia del 7/06/2013.</w:t>
      </w:r>
    </w:p>
    <w:p>
      <w:pPr>
        <w:pStyle w:val="[Normal]"/>
        <w:spacing w:line="360" w:lineRule="auto"/>
        <w:ind w:firstLine="1134"/>
        <w:jc w:val="both"/>
        <w:rPr>
          <w:lang w:val="es-AR" w:eastAsia="es-AR" w:bidi="es-AR"/>
        </w:rPr>
      </w:pPr>
      <w:r>
        <w:rPr>
          <w:lang w:val="es-AR" w:eastAsia="es-AR" w:bidi="es-AR"/>
        </w:rPr>
        <w:t xml:space="preserve">En definitiva es la línea de pensamiento que desestima la idea de un negocio simulado ante la ausencia de acuerdo simulatorio, ilustrando el a quo con diversas citas de doctrina y jurisprudencia que dan a su fallo una calidad jurídica digna de destacar, y que no ha sido conmovido por los agravios.-</w:t>
      </w:r>
    </w:p>
    <w:p>
      <w:pPr>
        <w:pStyle w:val="[Normal]"/>
        <w:spacing w:line="360" w:lineRule="auto"/>
        <w:ind w:firstLine="1134"/>
        <w:jc w:val="both"/>
        <w:rPr>
          <w:lang w:val="es-AR" w:eastAsia="es-AR" w:bidi="es-AR"/>
        </w:rPr>
      </w:pPr>
      <w:r>
        <w:rPr>
          <w:lang w:val="es-AR" w:eastAsia="es-AR" w:bidi="es-AR"/>
        </w:rPr>
        <w:t xml:space="preserve">Por otra parte aborda la postura adoptada por la SCBA en consonancia con la posición minoritaria (Acuerdo 74.459 del 29/9/2004) según pensamiento de Borda, que el acuerdo simulatorio entre ambas partes del negocio jurídico no constituye un requisito esencial de la simulación, sino que este concierto puede darse sólo entre una de ellas  y un tercero, ignorándolo la otra.  Explica que "lo esencial es la insinceridad de lo estipulado y, entonces, nada obsta a que la engañada sea una de las partes, como consecuencia del acuerdo entre la otra y un tercero" Tratado de Derecho Civil, Parte General T II pags. 351/352.</w:t>
      </w:r>
    </w:p>
    <w:p>
      <w:pPr>
        <w:pStyle w:val="[Normal]"/>
        <w:spacing w:line="360" w:lineRule="auto"/>
        <w:ind w:firstLine="1134"/>
        <w:jc w:val="both"/>
        <w:rPr>
          <w:lang w:val="es-AR" w:eastAsia="es-AR" w:bidi="es-AR"/>
        </w:rPr>
      </w:pPr>
      <w:r>
        <w:rPr>
          <w:lang w:val="es-AR" w:eastAsia="es-AR" w:bidi="es-AR"/>
        </w:rPr>
        <w:t xml:space="preserve">A partir de esta premisa, el operador  evaluó las afirmaciones y la prueba producida, teniendo en cuenta los dichos de la propia  Mieres Fuster, quien no postulara la existencia de un acuerdo simulatorio entre el vendedor y el adquirente del inmueble, señalando que ni siquiera  ha hecho mención al vendedor -otorgante del acto cuya nulidad se procura- limitándose a decir que fue ella y su pareja quienes adquirieron el inmueble y edificaron sobre el mismo.-</w:t>
      </w:r>
    </w:p>
    <w:p>
      <w:pPr>
        <w:pStyle w:val="[Normal]"/>
        <w:spacing w:line="360" w:lineRule="auto"/>
        <w:ind w:firstLine="1134"/>
        <w:jc w:val="both"/>
        <w:rPr>
          <w:lang w:val="es-AR" w:eastAsia="es-AR" w:bidi="es-AR"/>
        </w:rPr>
      </w:pPr>
      <w:r>
        <w:rPr>
          <w:lang w:val="es-AR" w:eastAsia="es-AR" w:bidi="es-AR"/>
        </w:rPr>
        <w:t xml:space="preserve">Destacó el déficit postulatorio que exhibió la demanda en cuanto la propia actora señaló que compró junto con su pareja el inmueble, sin alegar ni probar la celebración del boleto por su parte, la operación, a quien le pagó, a quien entregó el dinero o lo que fuese diera en pago, indicando que para adquirir el derecho real de propiedad sobre inmuebles se requiere el otorgamiento de escritura pública, tradición e inscripción (arts. 577, 1184 inc 1, 1185, 2505, 2524, 2601, 2602, 2603 y 2609 del Cod. Civ.), señalando el aquo que la premisa basal de la demanda es inaceptable por cuanto la actora no adquirió el inmueble junto a su ex pareja, remarcando que no se aprecia en ella a una persona ajena al mundo de los negocios, sino que se ha descripto en forma contraria, esto es avezada en el mundo de la empresa,  reconociendo haber efectuado numerosas operaciones de compraventa de bienes registrables, fondos de comercio, etc., resultando inverosímil el desconocimiento que alega respecto de la circunstancia de que el sobrino de su ex pareja "participara" del acto escriturario.</w:t>
      </w:r>
    </w:p>
    <w:p>
      <w:pPr>
        <w:pStyle w:val="[Normal]"/>
        <w:spacing w:line="360" w:lineRule="auto"/>
        <w:ind w:firstLine="1134"/>
        <w:jc w:val="both"/>
        <w:rPr>
          <w:lang w:val="es-AR" w:eastAsia="es-AR" w:bidi="es-AR"/>
        </w:rPr>
      </w:pPr>
      <w:r>
        <w:rPr>
          <w:lang w:val="es-AR" w:eastAsia="es-AR" w:bidi="es-AR"/>
        </w:rPr>
        <w:t xml:space="preserve">Amerita además como otro punto del rechazo que la actora no demostró haber contado con capacidad económica para adquirir un inmueble, que sobre ella pesaba.</w:t>
      </w:r>
    </w:p>
    <w:p>
      <w:pPr>
        <w:pStyle w:val="[Normal]"/>
        <w:spacing w:line="360" w:lineRule="auto"/>
        <w:ind w:firstLine="1134"/>
        <w:jc w:val="both"/>
        <w:rPr>
          <w:lang w:val="es-AR" w:eastAsia="es-AR" w:bidi="es-AR"/>
        </w:rPr>
      </w:pPr>
      <w:r>
        <w:rPr>
          <w:lang w:val="es-AR" w:eastAsia="es-AR" w:bidi="es-AR"/>
        </w:rPr>
        <w:t xml:space="preserve">Asimismo desestimó las mejoras que fueron deducidas en subsidio señalando una carga insatisfactoria que pesaba sobre la peticionante, en tanto no produjo la prueba que ofreciera en forma subisidiaria para el caso de desconocimiento, advirtiendo que sólo libró un oficio a la firma Saniter cuya respuesta no fue agregada.- (art. 375 del CPCC y 1012 del Cód. Civil).</w:t>
      </w:r>
    </w:p>
    <w:p>
      <w:pPr>
        <w:pStyle w:val="[Normal]"/>
        <w:spacing w:line="360" w:lineRule="auto"/>
        <w:ind w:firstLine="1134"/>
        <w:jc w:val="both"/>
        <w:rPr>
          <w:lang w:val="es-AR" w:eastAsia="es-AR" w:bidi="es-AR"/>
        </w:rPr>
      </w:pPr>
      <w:r>
        <w:rPr>
          <w:lang w:val="es-AR" w:eastAsia="es-AR" w:bidi="es-AR"/>
        </w:rPr>
        <w:t xml:space="preserve">Contra esto se ha alzado la quejosa adelantando desde ya que su queja no logra conmover mínimamente el sólido fallo de primera instancia.-</w:t>
      </w:r>
    </w:p>
    <w:p>
      <w:pPr>
        <w:pStyle w:val="[Normal]"/>
        <w:spacing w:line="360" w:lineRule="auto"/>
        <w:ind w:firstLine="1134"/>
        <w:jc w:val="both"/>
        <w:rPr>
          <w:lang w:val="es-AR" w:eastAsia="es-AR" w:bidi="es-AR"/>
        </w:rPr>
      </w:pPr>
      <w:r>
        <w:rPr>
          <w:lang w:val="es-AR" w:eastAsia="es-AR" w:bidi="es-AR"/>
        </w:rPr>
        <w:t xml:space="preserve">La simulación en los actos jurídicos, captada por el art. 955 del Cód. Civil ofrece una definición descriptiva de supuestos en que un acto o negocio jurídico puede ser reputado simulado, señalando claramente Belluscio que cuando "se alude a la simulación como vicio de los actos jurídicos coexisten la apariencia negocial -aspecto externo del proceso simulatorio- y la oculta intención real de las partes que han concluido el negocio simulado,  con una intención práctica diferente de aquella que el negocio simulado tiende a realizar" "Es una discordancia entre la voluntad interna y su manifestación"  (Cfr autor citado, T 4 Editorial Astrea ).</w:t>
      </w:r>
    </w:p>
    <w:p>
      <w:pPr>
        <w:pStyle w:val="[Normal]"/>
        <w:spacing w:line="360" w:lineRule="auto"/>
        <w:ind w:firstLine="1134"/>
        <w:jc w:val="both"/>
        <w:rPr>
          <w:lang w:val="es-AR" w:eastAsia="es-AR" w:bidi="es-AR"/>
        </w:rPr>
      </w:pPr>
      <w:r>
        <w:rPr>
          <w:lang w:val="es-AR" w:eastAsia="es-AR" w:bidi="es-AR"/>
        </w:rPr>
        <w:t xml:space="preserve">Describiendo el autor que en todo acto simulado subyace un acuerdo, un común designio de las partes de no atribuir a aquel los efectos que por naturaleza debe producir, acudiendo a Larenz para señalar que "de común acuerdo, producen solamente la apariencia externa de la conclusión del negocio jurídico, y en cambio, no quieren dar lugar al efecto jurídico conectado al respectivo negocio", a esto lo llaman acuerdo simulatorio.</w:t>
      </w:r>
    </w:p>
    <w:p>
      <w:pPr>
        <w:pStyle w:val="[Normal]"/>
        <w:spacing w:line="360" w:lineRule="auto"/>
        <w:ind w:firstLine="1134"/>
        <w:jc w:val="both"/>
        <w:rPr>
          <w:lang w:val="es-AR" w:eastAsia="es-AR" w:bidi="es-AR"/>
        </w:rPr>
      </w:pPr>
      <w:r>
        <w:rPr>
          <w:lang w:val="es-AR" w:eastAsia="es-AR" w:bidi="es-AR"/>
        </w:rPr>
        <w:t xml:space="preserve">La norma en cuestión alude a diversas formas de simulación que pueden referir a</w:t>
      </w:r>
      <w:r>
        <w:rPr>
          <w:b/>
          <w:lang w:val="es-AR" w:eastAsia="es-AR" w:bidi="es-AR"/>
        </w:rPr>
        <w:t xml:space="preserve"> la naturaleza del acto o negocio,</w:t>
      </w:r>
      <w:r>
        <w:rPr>
          <w:lang w:val="es-AR" w:eastAsia="es-AR" w:bidi="es-AR"/>
        </w:rPr>
        <w:t xml:space="preserve"> o bien a</w:t>
      </w:r>
      <w:r>
        <w:rPr>
          <w:b/>
          <w:lang w:val="es-AR" w:eastAsia="es-AR" w:bidi="es-AR"/>
        </w:rPr>
        <w:t xml:space="preserve"> sus elementos</w:t>
      </w:r>
      <w:r>
        <w:rPr>
          <w:lang w:val="es-AR" w:eastAsia="es-AR" w:bidi="es-AR"/>
        </w:rPr>
        <w:t xml:space="preserve"> o </w:t>
      </w:r>
      <w:r>
        <w:rPr>
          <w:b/>
          <w:lang w:val="es-AR" w:eastAsia="es-AR" w:bidi="es-AR"/>
        </w:rPr>
        <w:t xml:space="preserve">contenido</w:t>
      </w:r>
      <w:r>
        <w:rPr>
          <w:lang w:val="es-AR" w:eastAsia="es-AR" w:bidi="es-AR"/>
        </w:rPr>
        <w:t xml:space="preserve">, o bien a</w:t>
      </w:r>
      <w:r>
        <w:rPr>
          <w:b/>
          <w:lang w:val="es-AR" w:eastAsia="es-AR" w:bidi="es-AR"/>
        </w:rPr>
        <w:t xml:space="preserve"> los sujetos que intervienen</w:t>
      </w:r>
      <w:r>
        <w:rPr>
          <w:lang w:val="es-AR" w:eastAsia="es-AR" w:bidi="es-AR"/>
        </w:rPr>
        <w:t xml:space="preserve">, y aquí se plantea el caso de la interposición de personas.  Y en esta última variante se visualiza a) la convención de testaferro b) la interposición real y c) la interposición fiduciaria.-</w:t>
      </w:r>
    </w:p>
    <w:p>
      <w:pPr>
        <w:pStyle w:val="[Normal]"/>
        <w:spacing w:line="360" w:lineRule="auto"/>
        <w:ind w:firstLine="1134"/>
        <w:jc w:val="both"/>
        <w:rPr>
          <w:lang w:val="es-AR" w:eastAsia="es-AR" w:bidi="es-AR"/>
        </w:rPr>
      </w:pPr>
      <w:r>
        <w:rPr>
          <w:lang w:val="es-AR" w:eastAsia="es-AR" w:bidi="es-AR"/>
        </w:rPr>
        <w:t xml:space="preserve">En el primero "la simulación se realiza por la intervención de un tercero que aparentemente toma el lugar de una de las partes en el contrato" (Cfr Bellluscio obra citada).  En la interposición real un tercero adquiere efectivamente el bien o el derecho aunque lo hace como mandatario oculto del verdadero interesado en la adquisición, ignorándolo el enajenante. El tercero interpuesto actúa como mandatario oculto del interesado real en la compra, pero la transmisión del dominio que le hace el enajenante es real, pues este entiende realizar un acto serio, no simulado, a diferencia de lo que ocurre con al testaferro.  En la última figura lo que se configura es una interposición ficticia de persona, en la que el sujeto interpuesto, es decir el testaferro, es un contratante ficticio, aparente, que mediante acuerdo simulatorio se sustituye al verdadero contratante oculto.</w:t>
      </w:r>
    </w:p>
    <w:p>
      <w:pPr>
        <w:pStyle w:val="[Normal]"/>
        <w:spacing w:line="360" w:lineRule="auto"/>
        <w:ind w:firstLine="1134"/>
        <w:jc w:val="both"/>
        <w:rPr>
          <w:lang w:val="es-AR" w:eastAsia="es-AR" w:bidi="es-AR"/>
        </w:rPr>
      </w:pPr>
      <w:r>
        <w:rPr>
          <w:lang w:val="es-AR" w:eastAsia="es-AR" w:bidi="es-AR"/>
        </w:rPr>
        <w:t xml:space="preserve">De todo este desarrollo doctrinario y normativo, coincido con el operador en la improponibilidad de lo ensayado por la actora, en tanto no ha postulado la existencia de un acuerdo simulatorio entre el vendedor y el adquirente, sino que por el contrario ella misma afirma que "fueron ella y su pareja quienes adquirieron el inmueble de calle Avda de Mayo 1711 y edificaron mejoras allí", para decir que tiempo después se dio cuenta que la vivienda no estaba inscripta a su nombre ni de su ex pareja, sino del sobrino, otrora codemandado en este juicio.  Siendo atinada la valoración del aquo al señalar que la actora no era una persona ajena al mundo de los negocios, porque como bien indicara era titular de diversos bienes muebles registrables y de un fondo de comercio, con lo cual era imposible que no advirtiera que si compraba un inmueble como según afirma, no firmara la escritura. (arts. 577, 1184 inc 1, 1185, 2505, 2524, 2601, 2602, 2603, 2609 y ccs del Código Civil).</w:t>
      </w:r>
    </w:p>
    <w:p>
      <w:pPr>
        <w:pStyle w:val="[Normal]"/>
        <w:spacing w:line="360" w:lineRule="auto"/>
        <w:ind w:firstLine="1134"/>
        <w:jc w:val="both"/>
        <w:rPr>
          <w:lang w:val="es-AR" w:eastAsia="es-AR" w:bidi="es-AR"/>
        </w:rPr>
      </w:pPr>
      <w:r>
        <w:rPr>
          <w:lang w:val="es-AR" w:eastAsia="es-AR" w:bidi="es-AR"/>
        </w:rPr>
        <w:t xml:space="preserve">La acción de simulación se promovió contra la ex pareja de la actora y su sobrino, persiguiendo que se decrete la nulidad de la operación de compraventa celebrada el 18 de diciembre de 2007 mediante escritura pública, señalando la actora que "la adquisición del inmueble por supuesto fue previamente consensuada con el demandado mucho tiempo antes de concretar la operación, asumiendo el Sr. Dominguez el compromiso de efectivizar la compra, confiando la suscripta en todo lo que hizo, sin saber por supuesto que el inmueble fue inscripto a nombre de su sobrino", premisa que se trajo en los agravios y que intenta la quejoso sostener acudiendo a circunstancias tales como que vivieron en calle Avda de Mayo desde setiembre de 2015, que el medidor y el suministro de gas estaba a nombre de su pareja y que no se evaluaron recibos de alquiler anteriores del contrato de locación celebrado el 10 de diciembre de 2015.</w:t>
      </w:r>
    </w:p>
    <w:p>
      <w:pPr>
        <w:pStyle w:val="[Normal]"/>
        <w:spacing w:line="360" w:lineRule="auto"/>
        <w:ind w:firstLine="1134"/>
        <w:jc w:val="both"/>
        <w:rPr>
          <w:lang w:val="es-AR" w:eastAsia="es-AR" w:bidi="es-AR"/>
        </w:rPr>
      </w:pPr>
      <w:r>
        <w:rPr>
          <w:lang w:val="es-AR" w:eastAsia="es-AR" w:bidi="es-AR"/>
        </w:rPr>
        <w:t xml:space="preserve">La valoración de esa prueba que la doliente dice omitida o al menos con un déficit, no cambia en absoluto el resultado de la acción intentada, por cuanto en la simulación impetrada la propia actora dice haber comprado, sin que se haya probado de modo alguno una connivencia entre el vendedor y el comprador (sobrino de su ex pareja).  Si vivieron en el inmueble en cuestión en calidad de inquilinos o de comodatarios no altera ello el derecho de dominio constituido regularmente en cabeza del codemandado Juan Francisco Dominguez, propietario del inmueble que figura en la Escritura pública reseñada.</w:t>
      </w:r>
    </w:p>
    <w:p>
      <w:pPr>
        <w:pStyle w:val="[Normal]"/>
        <w:spacing w:line="360" w:lineRule="auto"/>
        <w:ind w:firstLine="1134"/>
        <w:jc w:val="both"/>
        <w:rPr>
          <w:lang w:val="es-AR" w:eastAsia="es-AR" w:bidi="es-AR"/>
        </w:rPr>
      </w:pPr>
      <w:r>
        <w:rPr>
          <w:lang w:val="es-AR" w:eastAsia="es-AR" w:bidi="es-AR"/>
        </w:rPr>
        <w:t xml:space="preserve">El cuestionamiento que versa sobre la titularidad de dominio adquirida por el codemandado Juan Francisco Dominguez en cuanto dice que no ejerció actos posesorios sobre el bien inmueble, no puede ser atendido, en cuanto en el sistema normativo argentino la propiedad de un bien se adquiere a través de  título y modo.</w:t>
      </w:r>
    </w:p>
    <w:p>
      <w:pPr>
        <w:pStyle w:val="[Normal]"/>
        <w:spacing w:line="360" w:lineRule="auto"/>
        <w:ind w:firstLine="1134"/>
        <w:jc w:val="both"/>
        <w:rPr>
          <w:lang w:val="es-AR" w:eastAsia="es-AR" w:bidi="es-AR"/>
        </w:rPr>
      </w:pPr>
      <w:r>
        <w:rPr>
          <w:lang w:val="es-AR" w:eastAsia="es-AR" w:bidi="es-AR"/>
        </w:rPr>
        <w:t xml:space="preserve">En efecto de la documental se desprende que se ha producido una mutación jurídica real en relación al inmueble con titulo suficiente (escritura pública prevista por el art. 1184 del Cód. de Velez y art. 1017 del Nuevo Código), así como un modo suficiente (traditio- art. 577 del Cód. de Velez y 750 del Nuevo Código), requisitos que se complementan con la inscripción del título en el Registro para lograr la plena oponibilidad (art. 2505 del Cód. de Velez y 1853 del Nuevo Código).</w:t>
      </w:r>
    </w:p>
    <w:p>
      <w:pPr>
        <w:pStyle w:val="[Normal]"/>
        <w:spacing w:line="360" w:lineRule="auto"/>
        <w:ind w:firstLine="1134"/>
        <w:jc w:val="both"/>
        <w:rPr>
          <w:lang w:val="es-AR" w:eastAsia="es-AR" w:bidi="es-AR"/>
        </w:rPr>
      </w:pPr>
      <w:r>
        <w:rPr>
          <w:lang w:val="es-AR" w:eastAsia="es-AR" w:bidi="es-AR"/>
        </w:rPr>
        <w:t xml:space="preserve">Por tanto el achaque de la quejosa relativa a la supuesta falta de actos posesorios del adquirente (sobrino de su ex pareja) no tienen la entidad que pretende exponer, teniendo en cuenta el sistema normativo que he detallado.</w:t>
      </w:r>
    </w:p>
    <w:p>
      <w:pPr>
        <w:pStyle w:val="[Normal]"/>
        <w:spacing w:line="360" w:lineRule="auto"/>
        <w:ind w:firstLine="1134"/>
        <w:jc w:val="both"/>
        <w:rPr>
          <w:lang w:val="es-AR" w:eastAsia="es-AR" w:bidi="es-AR"/>
        </w:rPr>
      </w:pPr>
      <w:r>
        <w:rPr>
          <w:lang w:val="es-AR" w:eastAsia="es-AR" w:bidi="es-AR"/>
        </w:rPr>
        <w:t xml:space="preserve">La acción deducida tal como lo motivara el aquo no se corresponde con la circunstancia fáctica que planteara,  en tanto ninguno de los supuestos analizados y permitidos por la norma para configurar aquella, han sido alcanzados.  Por el contrario la accionante dice "yo compré el inmueble con mi pareja y se percató tiempo después que estaba a nombre de su sobrino", sin que se advierta cual de los presupuestos legislados en el art. 955 del CPCC se han configurado para tener por acreditado la existencia de ese acto que se denuncia por ella simulado.-</w:t>
      </w:r>
    </w:p>
    <w:p>
      <w:pPr>
        <w:pStyle w:val="[Normal]"/>
        <w:spacing w:line="360" w:lineRule="auto"/>
        <w:ind w:firstLine="1134"/>
        <w:jc w:val="both"/>
        <w:rPr>
          <w:lang w:val="es-AR" w:eastAsia="es-AR" w:bidi="es-AR"/>
        </w:rPr>
      </w:pPr>
      <w:r>
        <w:rPr>
          <w:lang w:val="es-AR" w:eastAsia="es-AR" w:bidi="es-AR"/>
        </w:rPr>
        <w:t xml:space="preserve">La carga de la prueba del negocio simulado invocado por la peticionante era un imperativo de su propio interés y debía ofrecer y producir la prueba tendiente a demostrar el acuerdo simulatorio en el cual el propio accionante o excepcionante participó y que mas tarde es negado o controvertido por la contraria.  Cuando se trata de una simulación relativa, la prueba del acuerdo simulatorio implicará también la del negocio oculto o disimulado, que siendo lícito, será eficaz.  A esto se ha referido claramente el operador de grado cuando ha señalado con doctrina del Supremo Tribunal Provincial que la accionante no ha logrado demostrar la connivencia entre el vendedor y el adquirente, ni siquiera esbozado la cuestión, y que la queja no ha logrado neutralizar.</w:t>
      </w:r>
    </w:p>
    <w:p>
      <w:pPr>
        <w:pStyle w:val="[Normal]"/>
        <w:spacing w:line="360" w:lineRule="auto"/>
        <w:ind w:firstLine="1134"/>
        <w:jc w:val="both"/>
        <w:rPr>
          <w:lang w:val="es-AR" w:eastAsia="es-AR" w:bidi="es-AR"/>
        </w:rPr>
      </w:pPr>
      <w:r>
        <w:rPr>
          <w:lang w:val="es-AR" w:eastAsia="es-AR" w:bidi="es-AR"/>
        </w:rPr>
        <w:t xml:space="preserve">La machacona propuesta de la quejosa en sus agravios de que no han sido valorados los recibos del alquiler y que sólo se han tenido en cuenta el contrato de locación del año 2015 no llevan a resultado distinto, en tanto no ha logrado ni en la postulación inicial ni en sus agravios colectar los elementos que configuran la simulación en ninguna de sus variables.</w:t>
      </w:r>
    </w:p>
    <w:p>
      <w:pPr>
        <w:pStyle w:val="[Normal]"/>
        <w:spacing w:line="360" w:lineRule="auto"/>
        <w:ind w:firstLine="1134"/>
        <w:jc w:val="both"/>
        <w:rPr>
          <w:lang w:val="es-AR" w:eastAsia="es-AR" w:bidi="es-AR"/>
        </w:rPr>
      </w:pPr>
      <w:r>
        <w:rPr>
          <w:lang w:val="es-AR" w:eastAsia="es-AR" w:bidi="es-AR"/>
        </w:rPr>
        <w:t xml:space="preserve">Si bien es cierto que por el principio del iura novit curia los jueces pueden aplicar el derecho distinto al invocado, ello no significa que puedan o estén autorizados a reconducir una propuesta formalizada en la demanda de modo distinto</w:t>
      </w:r>
      <w:r>
        <w:rPr>
          <w:b/>
          <w:lang w:val="es-AR" w:eastAsia="es-AR" w:bidi="es-AR"/>
        </w:rPr>
        <w:t xml:space="preserve">, </w:t>
      </w:r>
      <w:r>
        <w:rPr>
          <w:lang w:val="es-AR" w:eastAsia="es-AR" w:bidi="es-AR"/>
        </w:rPr>
        <w:t xml:space="preserve">o reconducir una pretensión</w:t>
      </w:r>
      <w:r>
        <w:rPr>
          <w:b/>
          <w:lang w:val="es-AR" w:eastAsia="es-AR" w:bidi="es-AR"/>
        </w:rPr>
        <w:t xml:space="preserve">,</w:t>
      </w:r>
      <w:r>
        <w:rPr>
          <w:lang w:val="es-AR" w:eastAsia="es-AR" w:bidi="es-AR"/>
        </w:rPr>
        <w:t xml:space="preserve"> porque ello llevaría a violentar el principio de defensa en juicio con relación a la contraria y asimismo alterar los términos en que quedó trabada la litis.</w:t>
      </w:r>
    </w:p>
    <w:p>
      <w:pPr>
        <w:pStyle w:val="[Normal]"/>
        <w:spacing w:line="360" w:lineRule="auto"/>
        <w:ind w:firstLine="1134"/>
        <w:jc w:val="both"/>
        <w:rPr>
          <w:lang w:val="es-AR" w:eastAsia="es-AR" w:bidi="es-AR"/>
        </w:rPr>
      </w:pPr>
      <w:r>
        <w:rPr>
          <w:lang w:val="es-AR" w:eastAsia="es-AR" w:bidi="es-AR"/>
        </w:rPr>
        <w:t xml:space="preserve">Respecto de las mejoras cuyo cobro persigue y que fueran deducidas en subsidio, a tenor de lo normado por los arts. 1533 a 1552, 1567, 1577, 1618 a 1621 del Código Civil, han sido bien denegadas, en cuanto la carga de la prueba de las mismas a tenor del art. 375 del CPCC estaban a cargo de la peticionante.  Y como bien lo señala el aquo, si bien se ofreció prueba documental la accionante no produjo la ofrecida en forma subsidiaria para el caso de su desconocimiento, limitándose a librar un oficio a Sanifer, cuya respuesta no fue agregada.</w:t>
      </w:r>
    </w:p>
    <w:p>
      <w:pPr>
        <w:pStyle w:val="[Normal]"/>
        <w:spacing w:line="360" w:lineRule="auto"/>
        <w:ind w:firstLine="1134"/>
        <w:jc w:val="both"/>
        <w:rPr>
          <w:lang w:val="es-AR" w:eastAsia="es-AR" w:bidi="es-AR"/>
        </w:rPr>
      </w:pPr>
      <w:r>
        <w:rPr>
          <w:lang w:val="es-AR" w:eastAsia="es-AR" w:bidi="es-AR"/>
        </w:rPr>
        <w:t xml:space="preserve">A tenor del art. 1012, 1027, 1028 y ccs del Código Civil esos instrumentos privados carecen de eficacia probatoria en tanto han quedado huérfanos de prueba de autenticidad.</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 la apelante devinta (art. 68 del CPCC y su doctrina).-</w:t>
      </w:r>
    </w:p>
    <w:p>
      <w:pPr>
        <w:pStyle w:val="[Normal]"/>
        <w:spacing w:line="360" w:lineRule="auto"/>
        <w:ind w:firstLine="1134"/>
        <w:jc w:val="both"/>
        <w:rPr>
          <w:lang w:val="es-AR" w:eastAsia="es-AR" w:bidi="es-AR"/>
        </w:rPr>
      </w:pPr>
      <w:r>
        <w:rPr>
          <w:lang w:val="es-AR" w:eastAsia="es-AR" w:bidi="es-AR"/>
        </w:rPr>
        <w:t xml:space="preserve">Diferir la regulacion de honorarios por los trabajos en Alzada hasta tanto sean regulados los de primera instancia (art. 23 y 51 ley 14-967).-</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grado en todas sus partes.-</w:t>
      </w:r>
    </w:p>
    <w:p>
      <w:pPr>
        <w:pStyle w:val="[Normal]"/>
        <w:spacing w:line="360" w:lineRule="auto"/>
        <w:ind w:firstLine="1134"/>
        <w:jc w:val="both"/>
        <w:rPr>
          <w:lang w:val="es-AR" w:eastAsia="es-AR" w:bidi="es-AR"/>
        </w:rPr>
      </w:pPr>
      <w:r>
        <w:rPr>
          <w:lang w:val="es-AR" w:eastAsia="es-AR" w:bidi="es-AR"/>
        </w:rPr>
        <w:t xml:space="preserve">Costas a la apelante devinta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por los trabajos en Alzada hasta tanto sean regulados los de primera instancia (art. 23 y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rPr>
          <w:color w:val="000000"/>
          <w:lang w:val="es-AR" w:eastAsia="es-AR" w:bidi="es-AR"/>
        </w:rPr>
      </w:pPr>
      <w:r>
        <w:rPr>
          <w:color w:val="000000"/>
          <w:lang w:val="es-AR" w:eastAsia="es-AR" w:bidi="es-AR"/>
        </w:rPr>
        <w:t xml:space="preserve">20124482284@NOTIFICACIONES.SCBA.GOV.AR</w:t>
      </w:r>
    </w:p>
    <w:p>
      <w:pPr>
        <w:pStyle w:val="[Normal]"/>
        <w:spacing w:line="360" w:lineRule="auto"/>
        <w:rPr>
          <w:color w:val="000000"/>
          <w:lang w:val="es-AR" w:eastAsia="es-AR" w:bidi="es-AR"/>
        </w:rPr>
      </w:pPr>
      <w:r>
        <w:rPr>
          <w:color w:val="000000"/>
          <w:lang w:val="es-AR" w:eastAsia="es-AR" w:bidi="es-AR"/>
        </w:rPr>
        <w:t xml:space="preserve">20249737616@NOTIFICACIONES.SCBA.GOV.AR</w:t>
      </w:r>
    </w:p>
    <w:p>
      <w:pPr>
        <w:pStyle w:val="[Normal]"/>
        <w:spacing w:line="360" w:lineRule="auto"/>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09:15:17 -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09:21:39 -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09:48:18 -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11:28:34 -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20124482284@NOTIFICACIONES.SCBA.GOV.AR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20249737616@NOTIFICACIONES.SCBA.GOV.AR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‰7À")è%5‚]0Š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239502090005219861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3448 - 18 - MIERES FUSTER ANALIA ANGELICA C/ DOMINGUEZ JUAN RAMON Y OTRO/A S/ SIMULACION</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‰7À")è%5‚]0Š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239502090005219861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