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jc w:val="both"/>
        <w:rPr>
          <w:lang w:val="es-AR" w:eastAsia="es-AR" w:bidi="es-AR"/>
        </w:rPr>
      </w:pPr>
      <w:r>
        <w:rPr>
          <w:b/>
          <w:lang w:val="es-AR" w:eastAsia="es-AR" w:bidi="es-AR"/>
        </w:rPr>
        <w:t xml:space="preserve">	</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4190-21</w:t>
      </w:r>
      <w:r>
        <w:rPr>
          <w:lang w:val="es-AR" w:eastAsia="es-AR" w:bidi="es-AR"/>
        </w:rPr>
        <w:t xml:space="preserve"> caratulada </w:t>
      </w:r>
      <w:r>
        <w:rPr>
          <w:b/>
          <w:lang w:val="es-AR" w:eastAsia="es-AR" w:bidi="es-AR"/>
        </w:rPr>
        <w:t xml:space="preserve">"</w:t>
      </w:r>
      <w:r>
        <w:rPr>
          <w:b/>
          <w:color w:val="000000"/>
          <w:lang w:val="es-AR" w:eastAsia="es-AR" w:bidi="es-AR"/>
        </w:rPr>
        <w:t xml:space="preserve">PAMPIN JUAN RAMON Y OTRO/A C/ ZAPATA GUSTAVO ARIEL Y OTROS S/ DAÑOS Y PERJ.AUTOM. C/LES. O MUERTE (EXC.ESTADO)</w:t>
      </w:r>
      <w:r>
        <w:rPr>
          <w:b/>
          <w:lang w:val="es-AR" w:eastAsia="es-AR" w:bidi="es-AR"/>
        </w:rPr>
        <w:t xml:space="preserve">"</w:t>
      </w:r>
      <w:r>
        <w:rPr>
          <w:lang w:val="es-AR" w:eastAsia="es-AR" w:bidi="es-AR"/>
        </w:rPr>
        <w:t xml:space="preserve">, Expte. N° 59.820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y sus acumuladas: N° 4189-21  </w:t>
      </w:r>
      <w:r>
        <w:rPr>
          <w:b/>
          <w:lang w:val="es-AR" w:eastAsia="es-AR" w:bidi="es-AR"/>
        </w:rPr>
        <w:t xml:space="preserve">"TRANSPORTE NONE S.A. C/ SPEEDAGRO SRL Y OTROS S/ DAÑOS Y PERJ. AUTOM. S/LESIONES (EXC. ESTADO)"</w:t>
      </w:r>
      <w:r>
        <w:rPr>
          <w:lang w:val="es-AR" w:eastAsia="es-AR" w:bidi="es-AR"/>
        </w:rPr>
        <w:t xml:space="preserve"> y N° 4195-21 </w:t>
      </w:r>
      <w:r>
        <w:rPr>
          <w:b/>
          <w:lang w:val="es-AR" w:eastAsia="es-AR" w:bidi="es-AR"/>
        </w:rPr>
        <w:t xml:space="preserve">"</w:t>
      </w:r>
      <w:r>
        <w:rPr>
          <w:b/>
          <w:color w:val="000000"/>
          <w:lang w:val="es-AR" w:eastAsia="es-AR" w:bidi="es-AR"/>
        </w:rPr>
        <w:t xml:space="preserve">MONDINALE ELIANA SOLEDAD C/ ZAPATA GUSTAVO ARIEL Y OTROS S/ DAÑOS Y PERJ. AUTOM. C/LES. O MUERTE (EXC. ESTADO)</w:t>
      </w:r>
      <w:r>
        <w:rPr>
          <w:b/>
          <w:lang w:val="es-AR" w:eastAsia="es-AR" w:bidi="es-AR"/>
        </w:rPr>
        <w:t xml:space="preserve">"</w:t>
      </w:r>
      <w:r>
        <w:rPr>
          <w:lang w:val="es-AR" w:eastAsia="es-AR" w:bidi="es-AR"/>
        </w:rPr>
        <w:t xml:space="preserve">, se practicó el sorteo de ley que determinó que la votación debía efectuarse en el siguiente orden: </w:t>
      </w:r>
      <w:r>
        <w:rPr>
          <w:color w:val="000000"/>
          <w:lang w:val="es-AR" w:eastAsia="es-AR" w:bidi="es-AR"/>
        </w:rPr>
        <w:t xml:space="preserve">Graciela Scaraffia, Bernardo Louise y Roberto 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 El Juez de la primera Instancia ha dictado sentencia única, a saber: </w:t>
      </w:r>
    </w:p>
    <w:p>
      <w:pPr>
        <w:pStyle w:val="Normal"/>
        <w:widowControl w:val="o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1) En el </w:t>
      </w:r>
      <w:r>
        <w:rPr>
          <w:rFonts w:ascii="Arial" w:hAnsi="Arial" w:eastAsia="Arial" w:cs="Arial"/>
          <w:b/>
          <w:sz w:val="24"/>
          <w:lang w:val="es-AR" w:eastAsia="es-AR" w:bidi="es-AR"/>
        </w:rPr>
        <w:t xml:space="preserve">Expte. N° 59819 en Primera Instancia (Causa 4189): </w:t>
      </w:r>
      <w:r>
        <w:rPr>
          <w:rFonts w:ascii="Arial" w:hAnsi="Arial" w:eastAsia="Arial" w:cs="Arial"/>
          <w:sz w:val="24"/>
          <w:lang w:val="es-AR" w:eastAsia="es-AR" w:bidi="es-AR"/>
        </w:rPr>
        <w:t xml:space="preserve">Rechazó la demanda que instaurara </w:t>
      </w:r>
      <w:r>
        <w:rPr>
          <w:rFonts w:ascii="Arial" w:hAnsi="Arial" w:eastAsia="Arial" w:cs="Arial"/>
          <w:color w:val="000000"/>
          <w:sz w:val="24"/>
          <w:lang w:val="es-AR" w:eastAsia="es-AR" w:bidi="es-AR"/>
        </w:rPr>
        <w:t xml:space="preserve">Transporte None S. A.</w:t>
      </w:r>
      <w:r>
        <w:rPr>
          <w:rFonts w:ascii="Arial" w:hAnsi="Arial" w:eastAsia="Arial" w:cs="Arial"/>
          <w:sz w:val="24"/>
          <w:lang w:val="es-AR" w:eastAsia="es-AR" w:bidi="es-AR"/>
        </w:rPr>
        <w:t xml:space="preserve"> por vía de juicio sumario contra</w:t>
      </w:r>
      <w:r>
        <w:rPr>
          <w:rFonts w:ascii="Arial" w:hAnsi="Arial" w:eastAsia="Arial" w:cs="Arial"/>
          <w:color w:val="000000"/>
          <w:sz w:val="24"/>
          <w:lang w:val="es-AR" w:eastAsia="es-AR" w:bidi="es-AR"/>
        </w:rPr>
        <w:t xml:space="preserve"> Gustavo Ariel Zapata; Speedagro S. R. L. y San Cristóbal S. M. S. G..  </w:t>
      </w:r>
      <w:r>
        <w:rPr>
          <w:rFonts w:ascii="Arial" w:hAnsi="Arial" w:eastAsia="Arial" w:cs="Arial"/>
          <w:sz w:val="24"/>
          <w:lang w:val="es-AR" w:eastAsia="es-AR" w:bidi="es-AR"/>
        </w:rPr>
        <w:t xml:space="preserve">Aplicó las costas a la parte actora, que resultó vencida (Art. 68 C.P.C.).  Reguló los honorarios profesionales de los letrados intervinientes</w:t>
      </w:r>
      <w:r>
        <w:rPr>
          <w:rFonts w:ascii="Arial" w:hAnsi="Arial" w:eastAsia="Arial" w:cs="Arial"/>
          <w:color w:val="000000"/>
          <w:sz w:val="24"/>
          <w:lang w:val="es-AR" w:eastAsia="es-AR" w:bidi="es-AR"/>
        </w:rPr>
        <w:t xml:space="preserve">; Benalal, Gustavo Rodolfo; Caligaris, Mariana; Masciarelli Carla; Colabella José Manuel; Colabella Leandro Fortunato y Colabella Manuel Nicolas</w:t>
      </w:r>
      <w:r>
        <w:rPr>
          <w:rFonts w:ascii="Arial" w:hAnsi="Arial" w:eastAsia="Arial" w:cs="Arial"/>
          <w:sz w:val="24"/>
          <w:lang w:val="es-AR" w:eastAsia="es-AR" w:bidi="es-AR"/>
        </w:rPr>
        <w:t xml:space="preserve">, por sus trabajos realizados en autos.  Reguló los honorarios del perito oficial Eduardo Murphy y de la mediadora interviniente en autos, Dra. María Laura Toso.-</w:t>
      </w:r>
    </w:p>
    <w:p>
      <w:pPr>
        <w:pStyle w:val="Normal"/>
        <w:widowControl w:val="o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b/>
          <w:sz w:val="24"/>
          <w:lang w:val="es-AR" w:eastAsia="es-AR" w:bidi="es-AR"/>
        </w:rPr>
        <w:t xml:space="preserve">2) En el Expte. N° 59.820 de primera instancia  (Causa 4190): </w:t>
      </w:r>
      <w:r>
        <w:rPr>
          <w:rFonts w:ascii="Arial" w:hAnsi="Arial" w:eastAsia="Arial" w:cs="Arial"/>
          <w:sz w:val="24"/>
          <w:lang w:val="es-AR" w:eastAsia="es-AR" w:bidi="es-AR"/>
        </w:rPr>
        <w:t xml:space="preserve">Rechazó la demanda que instaurara Juan Ramón Pampin y Estela Mónica Chaves por vía de juicio sumario contra Speed Agro S. R. L., Gustavo Ariel Zapata y San Cristobal Seguros</w:t>
      </w:r>
      <w:r>
        <w:rPr>
          <w:rFonts w:ascii="Arial" w:hAnsi="Arial" w:eastAsia="Arial" w:cs="Arial"/>
          <w:color w:val="000000"/>
          <w:sz w:val="24"/>
          <w:lang w:val="es-AR" w:eastAsia="es-AR" w:bidi="es-AR"/>
        </w:rPr>
        <w:t xml:space="preserve">.  </w:t>
      </w:r>
      <w:r>
        <w:rPr>
          <w:rFonts w:ascii="Arial" w:hAnsi="Arial" w:eastAsia="Arial" w:cs="Arial"/>
          <w:sz w:val="24"/>
          <w:lang w:val="es-AR" w:eastAsia="es-AR" w:bidi="es-AR"/>
        </w:rPr>
        <w:t xml:space="preserve">Aplicó las costas a la parte actora, que resultó vencida (Art. 68 C.P.C.).  Reguló los honorarios profesionales de los letrados intervinientes Rabovich Fernando Jorge, Rabovich María Florencia, Santinelli, Martín Nicolás, </w:t>
      </w:r>
      <w:r>
        <w:rPr>
          <w:rFonts w:ascii="Arial" w:hAnsi="Arial" w:eastAsia="Arial" w:cs="Arial"/>
          <w:color w:val="000000"/>
          <w:sz w:val="24"/>
          <w:lang w:val="es-AR" w:eastAsia="es-AR" w:bidi="es-AR"/>
        </w:rPr>
        <w:t xml:space="preserve">Colabella Leandro Fortunato y Colabella José Manuel</w:t>
      </w:r>
      <w:r>
        <w:rPr>
          <w:rFonts w:ascii="Arial" w:hAnsi="Arial" w:eastAsia="Arial" w:cs="Arial"/>
          <w:sz w:val="24"/>
          <w:lang w:val="es-AR" w:eastAsia="es-AR" w:bidi="es-AR"/>
        </w:rPr>
        <w:t xml:space="preserve">.  Reguló los honorarios de los peritos E. Murphy y Ma. Laura Melo, de la Asesoría Pericial Departamental y del mediador interviniente en autos, Dr. Javier Esteban Lanata.-</w:t>
      </w:r>
    </w:p>
    <w:p>
      <w:pPr>
        <w:pStyle w:val="Normal"/>
        <w:widowControl w:val="o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b/>
          <w:sz w:val="24"/>
          <w:lang w:val="es-AR" w:eastAsia="es-AR" w:bidi="es-AR"/>
        </w:rPr>
        <w:t xml:space="preserve">3) En el Expte. N° 61.347 (Causa 4195):</w:t>
      </w:r>
      <w:r>
        <w:rPr>
          <w:rFonts w:ascii="Arial" w:hAnsi="Arial" w:eastAsia="Arial" w:cs="Arial"/>
          <w:sz w:val="24"/>
          <w:lang w:val="es-AR" w:eastAsia="es-AR" w:bidi="es-AR"/>
        </w:rPr>
        <w:t xml:space="preserve"> Rechazó la demanda que instaurara Mondinale, Eliana Soledad</w:t>
      </w:r>
      <w:r>
        <w:rPr>
          <w:rFonts w:ascii="Arial" w:hAnsi="Arial" w:eastAsia="Arial" w:cs="Arial"/>
          <w:b/>
          <w:sz w:val="24"/>
          <w:lang w:val="es-AR" w:eastAsia="es-AR" w:bidi="es-AR"/>
        </w:rPr>
        <w:t xml:space="preserve"> </w:t>
      </w:r>
      <w:r>
        <w:rPr>
          <w:rFonts w:ascii="Arial" w:hAnsi="Arial" w:eastAsia="Arial" w:cs="Arial"/>
          <w:sz w:val="24"/>
          <w:lang w:val="es-AR" w:eastAsia="es-AR" w:bidi="es-AR"/>
        </w:rPr>
        <w:t xml:space="preserve">por vía de juicio sumario contra</w:t>
      </w:r>
      <w:r>
        <w:rPr>
          <w:rFonts w:ascii="Arial" w:hAnsi="Arial" w:eastAsia="Arial" w:cs="Arial"/>
          <w:color w:val="000000"/>
          <w:sz w:val="24"/>
          <w:lang w:val="es-AR" w:eastAsia="es-AR" w:bidi="es-AR"/>
        </w:rPr>
        <w:t xml:space="preserve"> Gustavo Ariel Zapata; Speedagro SRL y</w:t>
      </w:r>
      <w:r>
        <w:rPr>
          <w:rFonts w:ascii="Arial" w:hAnsi="Arial" w:eastAsia="Arial" w:cs="Arial"/>
          <w:sz w:val="24"/>
          <w:lang w:val="es-AR" w:eastAsia="es-AR" w:bidi="es-AR"/>
        </w:rPr>
        <w:t xml:space="preserve"> San Cristobal S.M.S.G.  Aplicó las costas a la parte demandada, que  resulta vencida.  Difirió la regulación de honorarios de los profesionales intervinientes, hasta que obre liquidación firme.-</w:t>
      </w:r>
    </w:p>
    <w:p>
      <w:pPr>
        <w:pStyle w:val="Normal"/>
        <w:widowControl w:val="o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Tal decisorio en el expediente principal N° 4190 (Expte. N° 59.820) fue objeto del recurso de apelación por parte del apoderado de la actora mediante el escrito electrónico de fecha 19/08/2020, concedido libremente y en ambos efectos.-</w:t>
      </w:r>
    </w:p>
    <w:p>
      <w:pPr>
        <w:pStyle w:val="Normal"/>
        <w:widowControl w:val="o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lang w:val="es-AR" w:eastAsia="es-AR" w:bidi="es-AR"/>
        </w:rPr>
      </w:pPr>
      <w:r>
        <w:rPr>
          <w:rFonts w:ascii="Arial" w:hAnsi="Arial" w:eastAsia="Arial" w:cs="Arial"/>
          <w:sz w:val="24"/>
          <w:lang w:val="es-AR" w:eastAsia="es-AR" w:bidi="es-AR"/>
        </w:rPr>
        <w:t xml:space="preserve">Asimismo, mediante el escrito electrónico presentado en la causa acumulada N° 4189 la apoderada de la aseguradora San Cristóbal S.M.S.G. apeló por altos los honorarios regulados a favor de los Dres. J</w:t>
      </w:r>
      <w:r>
        <w:rPr>
          <w:rFonts w:ascii="Arial" w:hAnsi="Arial" w:eastAsia="Arial" w:cs="Arial"/>
          <w:sz w:val="24"/>
          <w:lang w:val="es-AR" w:eastAsia="es-AR" w:bidi="es-AR"/>
        </w:rPr>
        <w:t xml:space="preserve">osé Manuel Colabella; Leandro Fortunato Colabella y Manuel Nicolás Colabella.</w:t>
      </w:r>
      <w:r>
        <w:rPr>
          <w:rFonts w:ascii="Arial" w:hAnsi="Arial" w:eastAsia="Arial" w:cs="Arial"/>
          <w:lang w:val="es-AR" w:eastAsia="es-AR" w:bidi="es-AR"/>
        </w:rPr>
        <w:t xml:space="preserve"> </w:t>
      </w:r>
    </w:p>
    <w:p>
      <w:pPr>
        <w:pStyle w:val="Normal"/>
        <w:widowControl w:val="o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 fecha 04/03/2021 se ordenó expresar agravios a la actora, quien los fundó el 11/03/2021. El día 08/06/2021 se dio traslado a la contraparte, quien lo evacua por medio electrónico el día 14/06/2.  En fecha 17/06/2021 se dicta el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A su vez en el expediente acumulado nº 4189 (Expte. N° 59.819) el apoderado de la actora, mediante la presentación electrónica de fecha 12/8/2020, apeló la sentencia anterior (concedido libremente) como así también los honorarios de los Dres. Mariana Caligaris, Carla Masciarelli, José Manuel Colabella, Leandro F. Colabella, Manuel Nicolás Colabella, y los que fueran regulados a su favor concedidos en fecha 10/9/2020 (art. 57 de la ley 8904), todos ellos por considerarlos elevados.- </w:t>
      </w:r>
    </w:p>
    <w:p>
      <w:pPr>
        <w:pStyle w:val="[Normal]"/>
        <w:spacing w:line="360" w:lineRule="auto"/>
        <w:ind w:firstLine="1134"/>
        <w:jc w:val="both"/>
        <w:rPr>
          <w:lang w:val="es-AR" w:eastAsia="es-AR" w:bidi="es-AR"/>
        </w:rPr>
      </w:pPr>
      <w:r>
        <w:rPr>
          <w:lang w:val="es-AR" w:eastAsia="es-AR" w:bidi="es-AR"/>
        </w:rPr>
        <w:t xml:space="preserve">Asimismo, el recurso interpuesto contra la regulación de honorarios del perito Eduardo Murphy y mediadora Dra. María Laura Toso fue declarado desierto en fecha 14/5/2021.-</w:t>
      </w:r>
    </w:p>
    <w:p>
      <w:pPr>
        <w:pStyle w:val="[Normal]"/>
        <w:spacing w:line="360" w:lineRule="auto"/>
        <w:ind w:firstLine="1134"/>
        <w:jc w:val="both"/>
        <w:rPr>
          <w:lang w:val="es-AR" w:eastAsia="es-AR" w:bidi="es-AR"/>
        </w:rPr>
      </w:pPr>
      <w:r>
        <w:rPr>
          <w:lang w:val="es-AR" w:eastAsia="es-AR" w:bidi="es-AR"/>
        </w:rPr>
        <w:t xml:space="preserve">Fundó su recurso contra la sentencia mediante el escrito presentado en fecha 02/06/2021, corriéndose el traslado que fue evacuado el 14/06//2021.- </w:t>
      </w:r>
    </w:p>
    <w:p>
      <w:pPr>
        <w:pStyle w:val="[Normal]"/>
        <w:spacing w:line="360" w:lineRule="auto"/>
        <w:ind w:firstLine="1134"/>
        <w:jc w:val="both"/>
        <w:rPr>
          <w:lang w:val="es-AR" w:eastAsia="es-AR" w:bidi="es-AR"/>
        </w:rPr>
      </w:pPr>
      <w:r>
        <w:rPr>
          <w:lang w:val="es-AR" w:eastAsia="es-AR" w:bidi="es-AR"/>
        </w:rPr>
        <w:t xml:space="preserve">Mediante la presentación electrónica de fecha 2/9/2021, la apoderada de la citada en garantía apeló por elevados los honorarios de los Dres. Leandro Nicolás Colabella y José Manuel Colabella, recurso concedido art. 57 de la ley 8904.- </w:t>
      </w:r>
    </w:p>
    <w:p>
      <w:pPr>
        <w:pStyle w:val="[Normal]"/>
        <w:spacing w:line="360" w:lineRule="auto"/>
        <w:ind w:firstLine="1134"/>
        <w:jc w:val="both"/>
        <w:rPr>
          <w:lang w:val="es-AR" w:eastAsia="es-AR" w:bidi="es-AR"/>
        </w:rPr>
      </w:pPr>
      <w:r>
        <w:rPr>
          <w:lang w:val="es-AR" w:eastAsia="es-AR" w:bidi="es-AR"/>
        </w:rPr>
        <w:t xml:space="preserve">En fecha 17/06/2021 se dictó el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En el expediente acumulado nº 4195 (Expte. N° 61.347) obra el recurso de apelación interpuesto por la apoderada de la citada en garantía contra los honorarios de los Dres. Colabella Leandro Nicolás y Colabella José Manuel mediante el escrito electrónico presentado en la causa N° 4189-21 el día 2/9/2020.-  </w:t>
      </w:r>
    </w:p>
    <w:p>
      <w:pPr>
        <w:pStyle w:val="[Normal]"/>
        <w:spacing w:line="360" w:lineRule="auto"/>
        <w:ind w:firstLine="1134"/>
        <w:jc w:val="both"/>
        <w:rPr>
          <w:lang w:val="es-AR" w:eastAsia="es-AR" w:bidi="es-AR"/>
        </w:rPr>
      </w:pPr>
      <w:r>
        <w:rPr>
          <w:lang w:val="es-AR" w:eastAsia="es-AR" w:bidi="es-AR"/>
        </w:rPr>
        <w:t xml:space="preserve">En fecha 17/06/2021 se dictó el llamamiento de autos, que habiendo adquirido firmeza deja la causa en condiciones de ser fallada.- </w:t>
      </w:r>
    </w:p>
    <w:p>
      <w:pPr>
        <w:pStyle w:val="[Normal]"/>
        <w:spacing w:line="360" w:lineRule="auto"/>
        <w:ind w:firstLine="1134"/>
        <w:jc w:val="both"/>
        <w:rPr>
          <w:lang w:val="es-AR" w:eastAsia="es-AR" w:bidi="es-AR"/>
        </w:rPr>
      </w:pPr>
      <w:r>
        <w:rPr>
          <w:lang w:val="es-AR" w:eastAsia="es-AR" w:bidi="es-AR"/>
        </w:rPr>
        <w:t xml:space="preserve">En lo que aquí interesa se ha dictado sentencia única por el Juez de grado, comprensiva de las tres causas enumeradas, y que tienen como base de la pretensión el siniestro acontecido el día 16 de febrero de 2016 alrededor de las 16.45 hs. en la Ruta Nro. 32, protagonizado por un camión Marca Chevrolet C-60 dominio UPF 905, con un acoplado Ombú Dominio IBX-142 Modelo Barandas Volcables   conducido por Juan Alejandro Pampin y de propiedad de Transporte None S.A. y por el otro un camión Volvo, Modelo Em 440 4x2 Tipo Tractor, Patente NPT 323, con una Unidad Saturni Modelo Baranda Volcable, tipo Semiremolque al comando en la ocasión de Gustavo Ariel Zapata, cuyo titular dominial a la época era Speedagro S.R.L.- Como consecuencia del evento dañoso falleció Juan Alejandro Pampín.-</w:t>
      </w:r>
    </w:p>
    <w:p>
      <w:pPr>
        <w:pStyle w:val="[Normal]"/>
        <w:spacing w:line="360" w:lineRule="auto"/>
        <w:ind w:firstLine="1134"/>
        <w:jc w:val="both"/>
        <w:rPr>
          <w:lang w:val="es-AR" w:eastAsia="es-AR" w:bidi="es-AR"/>
        </w:rPr>
      </w:pPr>
      <w:r>
        <w:rPr>
          <w:lang w:val="es-AR" w:eastAsia="es-AR" w:bidi="es-AR"/>
        </w:rPr>
        <w:t xml:space="preserve">Quedó acreditado además por la prueba documental y reconocimiento de las partes que ambas unidades circulaban en dirección Pergamino-Rosario, por la Ruta 32 y que fue el conjunto Chevrolet-Ombút conducido por Pampin el que impactara físicamente desde atrás al conjunto  Volvo-Saturni comandado por Zapata, más la controversia quedó fijada en la mecánica del accidente, por cuanto los accionantes afirmaron que la causa del impacto fue una frenada intempestiva del Volvo, quien detuviera el camión "a cero" apenas culminado el sobrepaso previo del Volvo al Chevrolet.  Hipótesis que no fue recibida por el juez de grado, rechazando la demanda instaurada por todos los actores, quienes dedujeron los recursos de apelación reseñados.-</w:t>
      </w:r>
    </w:p>
    <w:p>
      <w:pPr>
        <w:pStyle w:val="[Normal]"/>
        <w:spacing w:line="360" w:lineRule="auto"/>
        <w:ind w:firstLine="1134"/>
        <w:jc w:val="both"/>
        <w:rPr>
          <w:lang w:val="es-AR" w:eastAsia="es-AR" w:bidi="es-AR"/>
        </w:rPr>
      </w:pPr>
      <w:r>
        <w:rPr>
          <w:lang w:val="es-AR" w:eastAsia="es-AR" w:bidi="es-AR"/>
        </w:rPr>
        <w:t xml:space="preserve">4) </w:t>
      </w:r>
      <w:r>
        <w:rPr>
          <w:b/>
          <w:lang w:val="es-AR" w:eastAsia="es-AR" w:bidi="es-AR"/>
        </w:rPr>
        <w:t xml:space="preserve">Agravios de Juan Ramón Pampin y Estela Mónica Chavez:</w:t>
      </w:r>
      <w:r>
        <w:rPr>
          <w:lang w:val="es-AR" w:eastAsia="es-AR" w:bidi="es-AR"/>
        </w:rPr>
        <w:t xml:space="preserve"> A través de su apoderado y en virtud de su calidad de progenitores del fallecido Juan Alejandro Pampin se alzan contra la sentencia de grado sosteniendo contrariamente a lo recogido por el aquo, que en la causa hay elementos que permitieron demostrar la responsabilidad del demandado Zapata en el evento, acudiendo a la declaración brindada en dos oportunidades por el testigo Arsenio Fernandez, indicando que se trata de un testimonio vital y respecto del cual  no se puede restar valor convictivo como lo hizo el sentenciante, por el hecho de que no figure en las actas policiales, aduciendo el doliente que el deponente estaba circulando en su propio camión y siguió viaje después del accidente.-</w:t>
      </w:r>
    </w:p>
    <w:p>
      <w:pPr>
        <w:pStyle w:val="[Normal]"/>
        <w:spacing w:line="360" w:lineRule="auto"/>
        <w:ind w:firstLine="1134"/>
        <w:jc w:val="both"/>
        <w:rPr>
          <w:lang w:val="es-AR" w:eastAsia="es-AR" w:bidi="es-AR"/>
        </w:rPr>
      </w:pPr>
      <w:r>
        <w:rPr>
          <w:lang w:val="es-AR" w:eastAsia="es-AR" w:bidi="es-AR"/>
        </w:rPr>
        <w:t xml:space="preserve">Ataca también el valor otorgado a la pericia mecánica, en cuanto dice que no es un elemento concluyente por si mismo ni para desacreditar el testimonio de Fernandez, ya que reseña que el único indicio en  que el perito funda su opinión lo constituye la presunta ausencia de huellas de frenado del camión conducido por Zapata, pero señala que no es suficiente para fundar en ella la sentencia, destacando que el perito ni siquiera pudo determinar la velocidad de circulación del rodado embestido.  Indica que es indiscutible que el demandado redujo mucho su velocidad ya que según la descripción que se hace en ambas pericias el camino estaba en muy mal estado, afirmando que lo que debía determinarse era si Zapata efectuó o no una maniobra de sobrepaso antes de frenar bruscamente, y que ello ha quedado probado con el testigo Fernandez.-</w:t>
      </w:r>
    </w:p>
    <w:p>
      <w:pPr>
        <w:pStyle w:val="[Normal]"/>
        <w:spacing w:line="360" w:lineRule="auto"/>
        <w:ind w:firstLine="1134"/>
        <w:jc w:val="both"/>
        <w:rPr>
          <w:lang w:val="es-AR" w:eastAsia="es-AR" w:bidi="es-AR"/>
        </w:rPr>
      </w:pPr>
      <w:r>
        <w:rPr>
          <w:lang w:val="es-AR" w:eastAsia="es-AR" w:bidi="es-AR"/>
        </w:rPr>
        <w:t xml:space="preserve">5) </w:t>
      </w:r>
      <w:r>
        <w:rPr>
          <w:b/>
          <w:lang w:val="es-AR" w:eastAsia="es-AR" w:bidi="es-AR"/>
        </w:rPr>
        <w:t xml:space="preserve">Agravios de Transporte None S. A.</w:t>
      </w:r>
      <w:r>
        <w:rPr>
          <w:lang w:val="es-AR" w:eastAsia="es-AR" w:bidi="es-AR"/>
        </w:rPr>
        <w:t xml:space="preserve">: Mediante su apoderado Dr. Gustavo Rodolfo Benalal desarrolla su crítica apontocada sintéticamente sobre diversos puntos, uno de los cuales lo basa en un déficit de valoración probatoria en tanto dice que al merituar la prueba se ha basado el aquo sólo en el informe pericial accidentológico agregado en la IPP 12-00-001224-16/00 dejando de lado prueba relevante como lo es a su criterio el tacómetro agregado en dicha causa, la pericia accidentológica realizada por el Ingeniero Murphy y la declaración del testigo presencial Fernandez agregada en autos.-</w:t>
      </w:r>
    </w:p>
    <w:p>
      <w:pPr>
        <w:pStyle w:val="[Normal]"/>
        <w:spacing w:line="360" w:lineRule="auto"/>
        <w:ind w:firstLine="1134"/>
        <w:jc w:val="both"/>
        <w:rPr>
          <w:lang w:val="es-AR" w:eastAsia="es-AR" w:bidi="es-AR"/>
        </w:rPr>
      </w:pPr>
      <w:r>
        <w:rPr>
          <w:lang w:val="es-AR" w:eastAsia="es-AR" w:bidi="es-AR"/>
        </w:rPr>
        <w:t xml:space="preserve">Se detiene asimismo sobre el lugar en que ocurriera el siniestro (Ruta 32 altura Km 154 en el mismo sentido los dos camiones), señalando que de la pericia accidentológica agregada en la causa penal el técnico vial informa que el hecho sucedió en la salida de un puente donde existe demarcación de doble línea amarilla, o sea prohibición de sobrepaso del Volvo, señalando que "no todas las frenadas dejan huellas de tal hecho" con cita de un trabajo de Irureta Víctor, indicando que sumado a la eficiencia del frenado del camión Volvo es posible que no se dejara huella.-</w:t>
      </w:r>
    </w:p>
    <w:p>
      <w:pPr>
        <w:pStyle w:val="[Normal]"/>
        <w:spacing w:line="360" w:lineRule="auto"/>
        <w:ind w:firstLine="1134"/>
        <w:jc w:val="both"/>
        <w:rPr>
          <w:lang w:val="es-AR" w:eastAsia="es-AR" w:bidi="es-AR"/>
        </w:rPr>
      </w:pPr>
      <w:r>
        <w:rPr>
          <w:lang w:val="es-AR" w:eastAsia="es-AR" w:bidi="es-AR"/>
        </w:rPr>
        <w:t xml:space="preserve">Reseña que el único testimonio que obra en autos es el de Fernandez, que presenció los hechos y que resulta consistente en ambas declaraciones prestadas (sede civil y penal), del cual se extrae que el camión Volvo sobrepasa al Chevrolet, encima del puente, y se coloca delante del mismo, que luego de avanzar pocos metros intempestivamente frena.-</w:t>
      </w:r>
    </w:p>
    <w:p>
      <w:pPr>
        <w:pStyle w:val="[Normal]"/>
        <w:spacing w:line="360" w:lineRule="auto"/>
        <w:ind w:firstLine="1134"/>
        <w:jc w:val="both"/>
        <w:rPr>
          <w:lang w:val="es-AR" w:eastAsia="es-AR" w:bidi="es-AR"/>
        </w:rPr>
      </w:pPr>
      <w:r>
        <w:rPr>
          <w:lang w:val="es-AR" w:eastAsia="es-AR" w:bidi="es-AR"/>
        </w:rPr>
        <w:t xml:space="preserve">También indica que ha de darse una valoración importante al informe del tacómetro del Volvo, el cual informa la ubicación y velocidad aproximadamente cada 4 minutos describiendo las mismas en las fracciones que detalla.-</w:t>
      </w:r>
    </w:p>
    <w:p>
      <w:pPr>
        <w:pStyle w:val="[Normal]"/>
        <w:spacing w:line="360" w:lineRule="auto"/>
        <w:ind w:firstLine="1134"/>
        <w:jc w:val="both"/>
        <w:rPr>
          <w:lang w:val="es-AR" w:eastAsia="es-AR" w:bidi="es-AR"/>
        </w:rPr>
      </w:pPr>
      <w:r>
        <w:rPr>
          <w:lang w:val="es-AR" w:eastAsia="es-AR" w:bidi="es-AR"/>
        </w:rPr>
        <w:t xml:space="preserve">Extrae de la pericia mecánica que el camión Volvo disminuye su velocidad a fin de atravesar lentamente un bache, de considerables dimensiones (según foto 1510452 en CD acompañada por el perito y existente sobre la cinta asfáltica).  Estos elementos achaca fueron deficientemente valorados por el aquo, señalando que la justa valoración daría un resultado distinto.  Describiendo sintéticamente deja expuesto que el camión Volvo sobrepasa al Chevolet sobre un puente, en lugar prohibido y con tránsito de frente, para posarse inmediatamente delante del Chevrolet, debiendo frenar a escasos metros como consecuencia de un bache sobre la traza de la ruta, con lo que el impacto que el Volvo recibe del camión Chevrolet deja está de predicar eficiencia causal en el resultado.-</w:t>
      </w:r>
    </w:p>
    <w:p>
      <w:pPr>
        <w:pStyle w:val="[Normal]"/>
        <w:spacing w:line="360" w:lineRule="auto"/>
        <w:ind w:firstLine="1134"/>
        <w:jc w:val="both"/>
        <w:rPr>
          <w:lang w:val="es-AR" w:eastAsia="es-AR" w:bidi="es-AR"/>
        </w:rPr>
      </w:pPr>
      <w:r>
        <w:rPr>
          <w:lang w:val="es-AR" w:eastAsia="es-AR" w:bidi="es-AR"/>
        </w:rPr>
        <w:t xml:space="preserve">Desprendiendo entonces que si bien el impacto que le produjera el camión Chevrolet ha sido condición necesaria del resultado dañoso</w:t>
      </w:r>
      <w:r>
        <w:rPr>
          <w:b/>
          <w:lang w:val="es-AR" w:eastAsia="es-AR" w:bidi="es-AR"/>
        </w:rPr>
        <w:t xml:space="preserve">,</w:t>
      </w:r>
      <w:r>
        <w:rPr>
          <w:lang w:val="es-AR" w:eastAsia="es-AR" w:bidi="es-AR"/>
        </w:rPr>
        <w:t xml:space="preserve"> no fue su causa adecuada, radicando ella en la peligrosidad de la maniobra de sobrepaso realizada por el Volvo y su inmediata y posterior frenada, alternativa que ciertamente dice se exhibe con las características de la imprevisibilidad e irresistibilidad para el conductor del Chevrolet.-</w:t>
      </w:r>
    </w:p>
    <w:p>
      <w:pPr>
        <w:pStyle w:val="[Normal]"/>
        <w:spacing w:line="360" w:lineRule="auto"/>
        <w:ind w:firstLine="1134"/>
        <w:jc w:val="both"/>
        <w:rPr>
          <w:lang w:val="es-AR" w:eastAsia="es-AR" w:bidi="es-AR"/>
        </w:rPr>
      </w:pPr>
      <w:r>
        <w:rPr>
          <w:lang w:val="es-AR" w:eastAsia="es-AR" w:bidi="es-AR"/>
        </w:rPr>
        <w:t xml:space="preserve">Indica que nuestro sistema normativo se ha enrolado en la causalidad adecuada en virtud de la cual no todas las condiciones son equivalentes ni conducen en la práctica al mismo resultado.  Lo que permite diferenciar una causa de otra, y la causa" se descubre en función de la posibilidad y probabilidad de un resultado, atendiendo a la que corrientemente acaece según lo indica la experiencia diaria en orden al curso ordinario de los acontecimientos citando a Goldemberg Isidoro en "La relación de causalidad en la responsabilidad civil".-</w:t>
      </w:r>
    </w:p>
    <w:p>
      <w:pPr>
        <w:pStyle w:val="[Normal]"/>
        <w:spacing w:line="360" w:lineRule="auto"/>
        <w:ind w:firstLine="1134"/>
        <w:jc w:val="both"/>
        <w:rPr>
          <w:lang w:val="es-AR" w:eastAsia="es-AR" w:bidi="es-AR"/>
        </w:rPr>
      </w:pPr>
      <w:r>
        <w:rPr>
          <w:lang w:val="es-AR" w:eastAsia="es-AR" w:bidi="es-AR"/>
        </w:rPr>
        <w:t xml:space="preserve">Aduce que la causalidad plena del hecho dañoso corresponde a la actuación del chofer del Volvo al realizar un sobrepaso en clara violación de la señalización de doble linea amarilla, sobre un puente, en clara infracción a lo normado por el art. 42 ley 24.449, transformándose al momento de aplicar los frenos como consecuencia de un bache sobre la cinta asfáltica, un obstáculo imprevisto e infranqueable para el camión Chevrolet conducido por quien en vida fuera Pampín.  Pide la revocación de la sentencia dictada.-</w:t>
      </w:r>
    </w:p>
    <w:p>
      <w:pPr>
        <w:pStyle w:val="[Normal]"/>
        <w:spacing w:line="360" w:lineRule="auto"/>
        <w:ind w:firstLine="1134"/>
        <w:jc w:val="both"/>
        <w:rPr>
          <w:lang w:val="es-AR" w:eastAsia="es-AR" w:bidi="es-AR"/>
        </w:rPr>
      </w:pPr>
      <w:r>
        <w:rPr>
          <w:lang w:val="es-AR" w:eastAsia="es-AR" w:bidi="es-AR"/>
        </w:rPr>
        <w:t xml:space="preserve">6)</w:t>
      </w:r>
      <w:r>
        <w:rPr>
          <w:b/>
          <w:lang w:val="es-AR" w:eastAsia="es-AR" w:bidi="es-AR"/>
        </w:rPr>
        <w:t xml:space="preserve"> Responde del apoderado de Speed Agro y la Aseguradora San</w:t>
      </w:r>
      <w:r>
        <w:rPr>
          <w:lang w:val="es-AR" w:eastAsia="es-AR" w:bidi="es-AR"/>
        </w:rPr>
        <w:t xml:space="preserve"> </w:t>
      </w:r>
      <w:r>
        <w:rPr>
          <w:b/>
          <w:lang w:val="es-AR" w:eastAsia="es-AR" w:bidi="es-AR"/>
        </w:rPr>
        <w:t xml:space="preserve">Cristóbal</w:t>
      </w:r>
      <w:r>
        <w:rPr>
          <w:lang w:val="es-AR" w:eastAsia="es-AR" w:bidi="es-AR"/>
        </w:rPr>
        <w:t xml:space="preserve">: Por medio de su apoderado Leandro Fortunato Colabella plantea la insuficiencia técnica de la expresión de agravios vertida en la causa "Pampin Juan Ramón c/ Speedagrado SRL y otros s/ daños", señalando que no  se ha cumplido con la carga procesal que la norma impone, transcribiendo que "no existe como  posibilidad de tener como expresión  de agravios al escrito que omite el análisis pormenorizado de la resolución apelada, no indica sus presuntos defectos, ni impugna sus fundamentos legales, limitándose a reiterar en términos aproximados las alegaciones y las formulaciones y a la enunciación de meras apreciaciones subjetivas de orden general y no jurídico, sin rebatirlas adecuadamente " con la cita textual del fallo de la Sala G 10/02/1987 LL 1987-B, 288.-</w:t>
      </w:r>
    </w:p>
    <w:p>
      <w:pPr>
        <w:pStyle w:val="[Normal]"/>
        <w:spacing w:line="360" w:lineRule="auto"/>
        <w:ind w:firstLine="1134"/>
        <w:jc w:val="both"/>
        <w:rPr>
          <w:lang w:val="es-AR" w:eastAsia="es-AR" w:bidi="es-AR"/>
        </w:rPr>
      </w:pPr>
      <w:r>
        <w:rPr>
          <w:lang w:val="es-AR" w:eastAsia="es-AR" w:bidi="es-AR"/>
        </w:rPr>
        <w:t xml:space="preserve">Puntualmente además de estos desprende que no ha cumplido con la carga de expresar la quejosa las razones por las cuales el Juzgador debió dar preeminencia a los dichos del testigo Arsenio Fernandez sobre la pericia accidentológica rendida en la causa penal por el perito policial y desentenderse de todo el contenido y fundamentación de la sentencia puesta en crisis.-</w:t>
      </w:r>
    </w:p>
    <w:p>
      <w:pPr>
        <w:pStyle w:val="[Normal]"/>
        <w:spacing w:line="360" w:lineRule="auto"/>
        <w:ind w:firstLine="1134"/>
        <w:jc w:val="both"/>
        <w:rPr>
          <w:lang w:val="es-AR" w:eastAsia="es-AR" w:bidi="es-AR"/>
        </w:rPr>
      </w:pPr>
      <w:r>
        <w:rPr>
          <w:lang w:val="es-AR" w:eastAsia="es-AR" w:bidi="es-AR"/>
        </w:rPr>
        <w:t xml:space="preserve">Respecto de los agravios vertidos en la causa "Transporte None S. A. c/ SpeedAgro S. R. L. s/ Daños" también replica los conceptos, señalando además que el dictamen pericial accidentológico rendido en la causa penal no fue cuestionado por la apelante al contestar la demanda, y que el aquo le ha dado preeminencia al mismo por sobre los dichos del Sr. Fernandez: ya que para apartarse del dictamen como lo pretende el quejoso, el juez debe encontrar apoyo en razones serias, con fundamentos objetivamente demostrativos de que la opinión del experto se halla reñida con principios de lógica o máximas de experiencia o que existan otros elementos probatorios de mayor eficacia, indicando que en la especie las conclusiones técnicas evaluadas por el operador y que lo hicieran decidir como lo hizo, no encuentran elementos objetivos que puedan habilitar su apartamiento.-</w:t>
      </w:r>
    </w:p>
    <w:p>
      <w:pPr>
        <w:pStyle w:val="[Normal]"/>
        <w:spacing w:line="360" w:lineRule="auto"/>
        <w:ind w:firstLine="1134"/>
        <w:jc w:val="both"/>
        <w:rPr>
          <w:lang w:val="es-AR" w:eastAsia="es-AR" w:bidi="es-AR"/>
        </w:rPr>
      </w:pPr>
      <w:r>
        <w:rPr>
          <w:lang w:val="es-AR" w:eastAsia="es-AR" w:bidi="es-AR"/>
        </w:rPr>
        <w:t xml:space="preserve">Dice que no está probado que el sobrepaso se realizó sobre el puente, y a todo evento indica que el siniestro se produjo cuando ambas unidades habían traspuesto el mismo, produciéndose la colisión en el carril Pergamino-Rosario por donde venían circulando una delante de la otra.-</w:t>
      </w:r>
    </w:p>
    <w:p>
      <w:pPr>
        <w:pStyle w:val="[Normal]"/>
        <w:spacing w:line="360" w:lineRule="auto"/>
        <w:ind w:firstLine="1134"/>
        <w:jc w:val="both"/>
        <w:rPr>
          <w:lang w:val="es-AR" w:eastAsia="es-AR" w:bidi="es-AR"/>
        </w:rPr>
      </w:pPr>
      <w:r>
        <w:rPr>
          <w:lang w:val="es-AR" w:eastAsia="es-AR" w:bidi="es-AR"/>
        </w:rPr>
        <w:t xml:space="preserve">Sostiene que la postura del quejoso no está probada: esto es que al momento de aplicar los frenos para disminuir la velocidad para traspasar el bache sobre la cinta asfáltica se haya convertido en un obstáculo imprevisto e infranqueable para el camión Chevrolet adunando que tampoco se encuentra acreditado y no se corroboró pericialmente la secuencia temporal que desarrolla con relación al tacómetro de la unidad y que la misma se corresponda con la secuencia temporal de la mecánica siniestral realmente acontecida.-</w:t>
      </w:r>
    </w:p>
    <w:p>
      <w:pPr>
        <w:pStyle w:val="[Normal]"/>
        <w:spacing w:line="360" w:lineRule="auto"/>
        <w:ind w:firstLine="1134"/>
        <w:jc w:val="both"/>
        <w:rPr>
          <w:lang w:val="es-AR" w:eastAsia="es-AR" w:bidi="es-AR"/>
        </w:rPr>
      </w:pPr>
      <w:r>
        <w:rPr>
          <w:lang w:val="es-AR" w:eastAsia="es-AR" w:bidi="es-AR"/>
        </w:rPr>
        <w:t xml:space="preserve">Dice que fue el propio Pampín conductor del Chevrolet el único causante del evento dañoso, quien produjo la ruptura del nexo de casualidad adecuada entre la cosa y el daño, solo atribuible al mismo quien actuó con culpa en el siniestro circulado sin mantener la distancia precaucional, transgrediendo la norma del art. 39 de la ley 24.449, por lo que su conducta se convirtió según indica, en la causa exclusiva, eficiente y adecuada de la producción del hecho dañoso.-</w:t>
      </w:r>
    </w:p>
    <w:p>
      <w:pPr>
        <w:pStyle w:val="[Normal]"/>
        <w:spacing w:line="360" w:lineRule="auto"/>
        <w:ind w:firstLine="1134"/>
        <w:jc w:val="both"/>
        <w:rPr>
          <w:lang w:val="es-AR" w:eastAsia="es-AR" w:bidi="es-AR"/>
        </w:rPr>
      </w:pPr>
      <w:r>
        <w:rPr>
          <w:lang w:val="es-AR" w:eastAsia="es-AR" w:bidi="es-AR"/>
        </w:rPr>
        <w:t xml:space="preserve">Insiste en que si se hubiera efectuado acción de frenado reseñada por el testigo, necesariamente tendría que haber quedado marcada en el pavimento la correspondiente huella, máxime que el camión Volvo se trata de un vehículo moderno, y que de haber sido cierto tal maniobra no existe la posibilidad de que no quedara registrada en la ruta, es más, señala que al ser embestido desde atrás, si las ruedas hubieran sido bloqueadas no habría continuado su marcha por espacio de 62,70 metros hasta quedar detenido, conforme dice haber quedado documentado.-</w:t>
      </w:r>
    </w:p>
    <w:p>
      <w:pPr>
        <w:pStyle w:val="[Normal]"/>
        <w:spacing w:line="360" w:lineRule="auto"/>
        <w:ind w:firstLine="1134"/>
        <w:jc w:val="both"/>
        <w:rPr>
          <w:lang w:val="es-AR" w:eastAsia="es-AR" w:bidi="es-AR"/>
        </w:rPr>
      </w:pPr>
      <w:r>
        <w:rPr>
          <w:lang w:val="es-AR" w:eastAsia="es-AR" w:bidi="es-AR"/>
        </w:rPr>
        <w:t xml:space="preserve">Afirma que la violencia del impacto, de la que dan cuenta la pericia y las fotografías son reveladoras de una velocidad excesiva para producir un choque por alcance, en estrecha relación con la omisión de no haber guardado la distancia adecuada de seguimiento ni mantenido el pleno dominio sobre su conducido.-</w:t>
      </w:r>
    </w:p>
    <w:p>
      <w:pPr>
        <w:pStyle w:val="[Normal]"/>
        <w:spacing w:line="360" w:lineRule="auto"/>
        <w:ind w:firstLine="1134"/>
        <w:jc w:val="both"/>
        <w:rPr>
          <w:lang w:val="es-AR" w:eastAsia="es-AR" w:bidi="es-AR"/>
        </w:rPr>
      </w:pPr>
      <w:r>
        <w:rPr>
          <w:lang w:val="es-AR" w:eastAsia="es-AR" w:bidi="es-AR"/>
        </w:rPr>
        <w:t xml:space="preserve">En relación al testigo Arsenio Fernandez afirma que sus dichos no pueden ser opuestos a su parte, en cuanto se han recepcionado sin el debido contralor de sus mandantes y que dicho testimonio se produjo 15 días después de producido el siniestro, sin que consten las explicaciones de como compareció a prestar declaración, siendo supuestamente un testigo presencial no detectado por la instrucción policial.  Adunando que sus dichos no se compadecen con la realidad de los hechos, pues atento la velocidad que venía desarrollando el Volvo conducido por Zapata, conforme los cálculos desarrollados por el experto, señala que en momento alguno ni clavo los frenos ni plantó la unidad.  Y al ser testigo único ha de ser muy estricta la valoración probatoria sobre sus dichos.-</w:t>
      </w:r>
    </w:p>
    <w:p>
      <w:pPr>
        <w:pStyle w:val="[Normal]"/>
        <w:spacing w:line="360" w:lineRule="auto"/>
        <w:ind w:firstLine="1134"/>
        <w:jc w:val="both"/>
        <w:rPr>
          <w:lang w:val="es-AR" w:eastAsia="es-AR" w:bidi="es-AR"/>
        </w:rPr>
      </w:pPr>
      <w:r>
        <w:rPr>
          <w:lang w:val="es-AR" w:eastAsia="es-AR" w:bidi="es-AR"/>
        </w:rPr>
        <w:t xml:space="preserve">Pide se confirme la sentencia.-</w:t>
      </w:r>
    </w:p>
    <w:p>
      <w:pPr>
        <w:pStyle w:val="[Normal]"/>
        <w:spacing w:line="360" w:lineRule="auto"/>
        <w:ind w:firstLine="1134"/>
        <w:jc w:val="both"/>
        <w:rPr>
          <w:lang w:val="es-AR" w:eastAsia="es-AR" w:bidi="es-AR"/>
        </w:rPr>
      </w:pPr>
      <w:r>
        <w:rPr>
          <w:lang w:val="es-AR" w:eastAsia="es-AR" w:bidi="es-AR"/>
        </w:rPr>
        <w:t xml:space="preserve">7) Entrando a resolver lo aquí traído, el disgusto de la parte actora versa sobre la responsabilidad fallada y la valoración probatoria efectuada por el sentenciante que lo llevara a desestimar la pretensión deducida.- </w:t>
      </w:r>
    </w:p>
    <w:p>
      <w:pPr>
        <w:pStyle w:val="[Normal]"/>
        <w:spacing w:line="360" w:lineRule="auto"/>
        <w:ind w:firstLine="1134"/>
        <w:jc w:val="both"/>
        <w:rPr>
          <w:lang w:val="es-AR" w:eastAsia="es-AR" w:bidi="es-AR"/>
        </w:rPr>
      </w:pPr>
      <w:r>
        <w:rPr>
          <w:lang w:val="es-AR" w:eastAsia="es-AR" w:bidi="es-AR"/>
        </w:rPr>
        <w:t xml:space="preserve">En el precedente Nro 94/20 señalé que desde el enfoque normativo convenía recordar "... algunos aspectos conceptuales en cuanto a la dinámica normativa aplicable en el nuevo sistema que rige en el Código Civil y Comercial Unificado en cuanto la función resarcitoria del daño está previsto a partir del art. 1716 del CCCN, estableciendo el art. 1721 de dicho cuerpo que la atribución de un daño al responsable puede basarse en factores objetivos o subjetivos, funcionando la atribución de la culpa de manera residual, definiéndose en el art. 1722 y 1723 CCCN el factor de atribución objetivo y en art. 1724 CCCN los factores subjetivos como la culpa y el dolo.  En el caso concreto de la imputación objetiva, contempla estas responsabilidades para: a) el factor riesgo o vicio de las cosas y actividades riesgosas o peligrosas (arts. 1757, 1758, 1733 inc. e), b) factor equidad, (1742,1750), c) factor garantía (arts. 1753, 1723 y 1768), responsabilidad del principal por el hecho del dependiente (art. 1753) daños derivados de un accidente de tránsito (art. 1769 CCCN) junto a otras descripciones que no tiene sentido abordar aquí, d) factor exceso de la normal tolerancia entre vecinos (art. 1793 CCCN) y e) factor abuso del derecho (arts. 10 y 11).-</w:t>
      </w:r>
    </w:p>
    <w:p>
      <w:pPr>
        <w:pStyle w:val="[Normal]"/>
        <w:spacing w:line="360" w:lineRule="auto"/>
        <w:ind w:firstLine="1134"/>
        <w:jc w:val="both"/>
        <w:rPr>
          <w:lang w:val="es-AR" w:eastAsia="es-AR" w:bidi="es-AR"/>
        </w:rPr>
      </w:pPr>
      <w:r>
        <w:rPr>
          <w:lang w:val="es-AR" w:eastAsia="es-AR" w:bidi="es-AR"/>
        </w:rPr>
        <w:t xml:space="preserve">Las disposiciones atinentes a la responsabilidad objetiva antes mencionadas debe colegirse con lo dispuesto en el art. 1758 CCCN que replica en cierto modo el antiguo art. 1113 del Código de Vélez y también ha de tenerse en cuenta lo dispuesto en el art. 1769 del CCCN que alude en forma directa a la responsabilidad derivada de la intervención de cosas que resulta aplicable a los daños causados por la circulación de vehículos".-</w:t>
      </w:r>
    </w:p>
    <w:p>
      <w:pPr>
        <w:pStyle w:val="[Normal]"/>
        <w:spacing w:line="360" w:lineRule="auto"/>
        <w:ind w:firstLine="1134"/>
        <w:jc w:val="both"/>
        <w:rPr>
          <w:lang w:val="es-AR" w:eastAsia="es-AR" w:bidi="es-AR"/>
        </w:rPr>
      </w:pPr>
      <w:r>
        <w:rPr>
          <w:lang w:val="es-AR" w:eastAsia="es-AR" w:bidi="es-AR"/>
        </w:rPr>
        <w:t xml:space="preserve">Claramente entonces el factor de atribución de responsabilidad en la especie es el objetivo, en tanto en este siniestro intervinieron dos camiones de gran porte, ambos conductores al comando de cosas generadoras de riesgo potencial, en la cual sin duda alguna ha de analizarse los aportes causales de cada uno de los protagonistas.  La recepción en el nuevo Código Unificado aplicó sin duda el fallo plenario de la Justicia Nacional en lo Civil in re "Valdez c. El puente SAC" que como es sabido pone en juego las presunciones de causalidad derivadas de la potencialidad dañosa "activa" y equivalente a cada dueño o guardián por los daños causados por él y sufridos por el otro, con fundamento objetivo en el riesgo salvo que pruebe o acredite la existencia de eximentes".  El art. 1758 CCCN indica como sujetos responsables concurrentes al dueño y el guardián del daño causado por las cosas, salvo que se pruebe que la cosa fue usada en contra de su voluntad expresa o presunta.- Cfr "Código Civil y Comercial de la Nación" analizado por Alberto Bueres, T 2, pág. 194".-</w:t>
      </w:r>
    </w:p>
    <w:p>
      <w:pPr>
        <w:pStyle w:val="[Normal]"/>
        <w:spacing w:line="360" w:lineRule="auto"/>
        <w:ind w:firstLine="1134"/>
        <w:jc w:val="both"/>
        <w:rPr>
          <w:lang w:val="es-AR" w:eastAsia="es-AR" w:bidi="es-AR"/>
        </w:rPr>
      </w:pPr>
      <w:r>
        <w:rPr>
          <w:lang w:val="es-AR" w:eastAsia="es-AR" w:bidi="es-AR"/>
        </w:rPr>
        <w:t xml:space="preserve">El aquo ha encuadrado el caso en las normas citadas de responsabilidad objetiva, ha partido de la afirmación de la demandada que alegó un obrar culpable en la victima,  evaluando el carácter de embistente del actor tomó "la presunción jurisprudencial que indica que debe presumirse la culpa del conductor que, con la parte delantera de su rodado, embiste a otro que lo precede, como así también que pesa sobre dicho conductor la carga de la prueba tendiente a destruír  aquella".-</w:t>
      </w:r>
    </w:p>
    <w:p>
      <w:pPr>
        <w:pStyle w:val="[Normal]"/>
        <w:spacing w:line="360" w:lineRule="auto"/>
        <w:ind w:firstLine="1134"/>
        <w:jc w:val="both"/>
        <w:rPr>
          <w:lang w:val="es-AR" w:eastAsia="es-AR" w:bidi="es-AR"/>
        </w:rPr>
      </w:pPr>
      <w:r>
        <w:rPr>
          <w:lang w:val="es-AR" w:eastAsia="es-AR" w:bidi="es-AR"/>
        </w:rPr>
        <w:t xml:space="preserve">Concluye "que presumida la culpa del embistente -a los fines de desvirtuar aquella, los accionantes debían probar la culpa del demandado, circunstancia que a su criterio no alcanzaron a satisfacer", refiriendo que "con la sola declaración del testigo Fernandez, que contraría las constancias de la causa penal, no se logró demostrar que existió una maniobra de frenado abrupta e intempestiva por parte del demandado Zapata, sugiriendo que la aludida maniobra además de resultar previsible por la circunstancia conforme las contingencias propias del tránsito, era una conducta previsible en el caso particular dado el estado de la ruta por la cual ambos rodados circulaban siendo la existencia de baches conocidos por los profesionales del transporte".  Desprendiendo entonces que la conducta de Pampín se erigió como una causa adecuada para la ocurrencia del hecho convirtiéndose en causa exclusiva del menoscabo producido (art. 1729 del CCCN).-</w:t>
      </w:r>
    </w:p>
    <w:p>
      <w:pPr>
        <w:pStyle w:val="[Normal]"/>
        <w:spacing w:line="360" w:lineRule="auto"/>
        <w:ind w:firstLine="1134"/>
        <w:jc w:val="both"/>
        <w:rPr>
          <w:lang w:val="es-AR" w:eastAsia="es-AR" w:bidi="es-AR"/>
        </w:rPr>
      </w:pPr>
      <w:r>
        <w:rPr>
          <w:lang w:val="es-AR" w:eastAsia="es-AR" w:bidi="es-AR"/>
        </w:rPr>
        <w:t xml:space="preserve">No comparto la decisión del juzgador y estimo que el análisis es insuficiente, porque no sólo ha de limitarse al carácter presuncional que dimana de la calidad de embistente del camión Chevrolet, sino que en la especie han de evaluarse otras circunstancias probadas que llevan a resultado distinto, atendiendo la queja de la parte actora en estos puntos, y sobre todo cuando introduce en su ensayo crítico el tema atinente a la causalidad.-</w:t>
      </w:r>
    </w:p>
    <w:p>
      <w:pPr>
        <w:pStyle w:val="[Normal]"/>
        <w:spacing w:line="360" w:lineRule="auto"/>
        <w:ind w:firstLine="1134"/>
        <w:jc w:val="both"/>
        <w:rPr>
          <w:lang w:val="es-AR" w:eastAsia="es-AR" w:bidi="es-AR"/>
        </w:rPr>
      </w:pPr>
      <w:r>
        <w:rPr>
          <w:lang w:val="es-AR" w:eastAsia="es-AR" w:bidi="es-AR"/>
        </w:rPr>
        <w:t xml:space="preserve">Por lo pronto he de señalar que si bien es cierto que el camión con acoplado  conducido por Juan Alejandro Pampín quien falleciera en el evento, resulta ser físicamente embistente, no puede obviarse como dato relevante, que en el mismo sentido venía circulando el camión Volvo con semiremolque patente OGR 522 conducido por Gustavo Ariel  Zapata, y que este conductor hizo una maniobra de adelantamiento y sobrepaso, que llevó a cabo, poniéndose delante del Camión Chevrolet al comando de Pampin, y que ello sin duda generó una circunstancia en la cadena causal que hay que desentrañar.-</w:t>
      </w:r>
    </w:p>
    <w:p>
      <w:pPr>
        <w:pStyle w:val="[Normal]"/>
        <w:spacing w:line="360" w:lineRule="auto"/>
        <w:ind w:firstLine="1134"/>
        <w:jc w:val="both"/>
        <w:rPr>
          <w:lang w:val="es-AR" w:eastAsia="es-AR" w:bidi="es-AR"/>
        </w:rPr>
      </w:pPr>
      <w:r>
        <w:rPr>
          <w:lang w:val="es-AR" w:eastAsia="es-AR" w:bidi="es-AR"/>
        </w:rPr>
        <w:t xml:space="preserve">Nótese que he hablado de responsabilidad objetiva porque ambos vehículos de gran porte son per se generador de daños, debiendo evaluarse cuidadosamente los aportes causales en el evento dañoso.-</w:t>
      </w:r>
    </w:p>
    <w:p>
      <w:pPr>
        <w:pStyle w:val="[Normal]"/>
        <w:spacing w:line="360" w:lineRule="auto"/>
        <w:ind w:firstLine="1134"/>
        <w:jc w:val="both"/>
        <w:rPr>
          <w:lang w:val="es-AR" w:eastAsia="es-AR" w:bidi="es-AR"/>
        </w:rPr>
      </w:pPr>
      <w:r>
        <w:rPr>
          <w:lang w:val="es-AR" w:eastAsia="es-AR" w:bidi="es-AR"/>
        </w:rPr>
        <w:t xml:space="preserve">Es cierto que el fallecido Pampín debía estar atento al tránsito vehicular y a las normas de tránsito citadas por el aquo, pero el demandado no ha probado transgresión alguna en su conducta, ha de puntualizarse que venía circulando por su mano en una Ruta conocida por el mal estado que tiene el asfalto, lleno de baches, situación que es pública y notoria; por tanto en la maniobra de sobrepaso que realizó el conductor del Volvo con semiremolque, quien se puso por delante, evidentemente, algo pasó, sin que se le pueda exigir a Pampín conducta diferente (por ejemplo que detuviera su marcha, para que el otro pase y se acomode).  Esto es más de lo que el deber de prudencia exigen a un conductor, o sea acomodarse a la maniobra de sobrepaso del otro al comando de un Volvo con acoplado.  No se ha probado ninguna circunstancia que permita inferir respecto de Pampín, conductor del camión Chevrolet que haya actuado con desatención en la contingencia, velocidad inapropiada, distancia menor a la aconsejada, debiendo recordarse que circulaba por su propio carril en forma normal (puesto que no se ha probado lo contrario) y que en esa situación el camión Volvo lo sobrepasa poniéndose por delante.-</w:t>
      </w:r>
    </w:p>
    <w:p>
      <w:pPr>
        <w:pStyle w:val="[Normal]"/>
        <w:spacing w:line="360" w:lineRule="auto"/>
        <w:ind w:firstLine="1134"/>
        <w:jc w:val="both"/>
        <w:rPr>
          <w:lang w:val="es-AR" w:eastAsia="es-AR" w:bidi="es-AR"/>
        </w:rPr>
      </w:pPr>
      <w:r>
        <w:rPr>
          <w:lang w:val="es-AR" w:eastAsia="es-AR" w:bidi="es-AR"/>
        </w:rPr>
        <w:t xml:space="preserve">Por el contrario la conducta del codemandado  Zapata ( chófer del Volvo) es de vital importancia a la hora de identificar los aportes, en cuanto sobre él pesaba la obligación de diligencia de quien efectúa el sobrepaso, claramente expuesto del siguiente modo "Para efectuar la maniobra de adelantamiento es indispensable que el conductor adopte todos los recaudos necesarios para evitar accidentes, especialmente asegurarse de que exista la brecha espacio-temporal que permita el aflancamiento, sobrepaso y reingreso al propio carril sin incovenientes".  CC0000 JU 41114 RSD-286-47 S 29/08/2006 Juez GUARDIOLA (SD), Carátula: García López, Aldo Raúl c/Suarez, Emilio s/Daños y perjuicios, Magistrados Votantes: Guardiola-Rosas.-</w:t>
      </w:r>
    </w:p>
    <w:p>
      <w:pPr>
        <w:pStyle w:val="[Normal]"/>
        <w:spacing w:line="360" w:lineRule="auto"/>
        <w:ind w:firstLine="1134"/>
        <w:jc w:val="both"/>
        <w:rPr>
          <w:lang w:val="es-AR" w:eastAsia="es-AR" w:bidi="es-AR"/>
        </w:rPr>
      </w:pPr>
      <w:r>
        <w:rPr>
          <w:lang w:val="es-AR" w:eastAsia="es-AR" w:bidi="es-AR"/>
        </w:rPr>
        <w:t xml:space="preserve">Otra obligación que pesaba sobre Zapata era la de mantener la distancia adecuada, señalándose que "Pesa sobre el conductor que actúa como sujeto activo de sobrepaso, la obligación jurídica de prevenir el peligro adoptando las precauciones necesarias de distancia y lugar suficientes para la maniobra"CP0000 SN 18034 RSD-653-94 S 25/10/1994 Juez ANDRIN (SD)Carátula: S. S. E. s/LESIONES CULPOSASObservaciones: (Trib.Orig. JCC.4)Magistrados Votantes: ANDRIN - BRUNO - GIULIANI.-</w:t>
      </w:r>
    </w:p>
    <w:p>
      <w:pPr>
        <w:pStyle w:val="[Normal]"/>
        <w:spacing w:line="360" w:lineRule="auto"/>
        <w:ind w:firstLine="1134"/>
        <w:jc w:val="both"/>
        <w:rPr>
          <w:lang w:val="es-AR" w:eastAsia="es-AR" w:bidi="es-AR"/>
        </w:rPr>
      </w:pPr>
      <w:r>
        <w:rPr>
          <w:lang w:val="es-AR" w:eastAsia="es-AR" w:bidi="es-AR"/>
        </w:rPr>
        <w:t xml:space="preserve">Y el sobrepaso debe intentarse a una distancia lateral necesaria con prevención de cualquier alteración de la marcha de quien se intenta superar.-</w:t>
      </w:r>
    </w:p>
    <w:p>
      <w:pPr>
        <w:pStyle w:val="[Normal]"/>
        <w:spacing w:line="360" w:lineRule="auto"/>
        <w:ind w:firstLine="1134"/>
        <w:jc w:val="both"/>
        <w:rPr>
          <w:lang w:val="es-AR" w:eastAsia="es-AR" w:bidi="es-AR"/>
        </w:rPr>
      </w:pPr>
      <w:r>
        <w:rPr>
          <w:lang w:val="es-AR" w:eastAsia="es-AR" w:bidi="es-AR"/>
        </w:rPr>
        <w:t xml:space="preserve">Zapata era el sujeto activo de la maniobra de sobrepaso o adelantamiento, de tal modo que su conducta era vital, y que sin duda al no adoptar la conducta de distancia y lugar hizo un aporte relevante para que se provocara el embistimiento por parte del camión Chevrolet que le costara la vida a su conductor.-</w:t>
      </w:r>
    </w:p>
    <w:p>
      <w:pPr>
        <w:pStyle w:val="[Normal]"/>
        <w:spacing w:line="360" w:lineRule="auto"/>
        <w:ind w:firstLine="1134"/>
        <w:jc w:val="both"/>
        <w:rPr>
          <w:lang w:val="es-AR" w:eastAsia="es-AR" w:bidi="es-AR"/>
        </w:rPr>
      </w:pPr>
      <w:r>
        <w:rPr>
          <w:lang w:val="es-AR" w:eastAsia="es-AR" w:bidi="es-AR"/>
        </w:rPr>
        <w:t xml:space="preserve">a).- VALORACION PROBATORIA: La queja que versa sobre la valoración probatoria es de recibo en cuanto la valoración de los elementos llevan a resultado distinto al logrado en la sentencia en crisis.-</w:t>
      </w:r>
    </w:p>
    <w:p>
      <w:pPr>
        <w:pStyle w:val="[Normal]"/>
        <w:spacing w:line="360" w:lineRule="auto"/>
        <w:ind w:firstLine="1134"/>
        <w:jc w:val="both"/>
        <w:rPr>
          <w:lang w:val="es-AR" w:eastAsia="es-AR" w:bidi="es-AR"/>
        </w:rPr>
      </w:pPr>
      <w:r>
        <w:rPr>
          <w:lang w:val="es-AR" w:eastAsia="es-AR" w:bidi="es-AR"/>
        </w:rPr>
        <w:t xml:space="preserve">En efecto la pericia mecánica producida por el Perito Oficial Eduardo Murphy , agregada mediante escrito electrónico de fecha 3/9/2018, quien realiza el informe con cita de los elementos tenidos en cuenta de la causa penal 1081/16 "Zapata Gustavo Ariel s/ Homidicido culposo calificado" (croquis precario descriptivo, informe de daños, croquis planimétrico policial, informe estado de los vehículos, reporte de posición de velocidad, pericial accidentológica policial, fotos de la policía científica), elementos todos detallados por el experto y sobre los cuales basó sus conclusiones, indica claramente una circunstancia que no ha sido debidamente evaluada por el operador de grado, y radica en " la existencia de un bache o desnivel importante indicado en el croquis de fs. 41 de 1,70 m por 5 m.".  Dice el experto "El camión Volvo y su semi Saturni circulaban por la ruta 32 con dirección Pergamino hacia Rosario cuando llega al bache -cuya magnitud se aprecia en la foto P 1510452 que se encuentra en el CD,- disminuye su velocidad para pasarlo lentamente, en ese momento es impactado desde atrás por el Chevrolet.- El camión Volvo y su semiSaturni continua su marcha para detenerse 62,70 m conforme se lo muestra en el croquis de fs 41, quedando allí estacionado".-</w:t>
      </w:r>
    </w:p>
    <w:p>
      <w:pPr>
        <w:pStyle w:val="[Normal]"/>
        <w:spacing w:line="360" w:lineRule="auto"/>
        <w:ind w:firstLine="1134"/>
        <w:jc w:val="both"/>
        <w:rPr>
          <w:lang w:val="es-AR" w:eastAsia="es-AR" w:bidi="es-AR"/>
        </w:rPr>
      </w:pPr>
      <w:r>
        <w:rPr>
          <w:lang w:val="es-AR" w:eastAsia="es-AR" w:bidi="es-AR"/>
        </w:rPr>
        <w:t xml:space="preserve">"En tanto el Chevrolet y su acoplado Ombú circulaban en la dirección antes descripta (Pergamino-Rosario) cuando advierte delante suyo el semi-Saturni por lo que aplica los frenos e impacta al mismo inmediatamente antes de los raspones indicados con la letra B en el croquis de fs. 41 luego del punto C se produce un desvió hacia la izquierda para quedar detenido en el lugar indicado en el croquis y la fotografias".-</w:t>
      </w:r>
    </w:p>
    <w:p>
      <w:pPr>
        <w:pStyle w:val="[Normal]"/>
        <w:spacing w:line="360" w:lineRule="auto"/>
        <w:ind w:firstLine="1134"/>
        <w:jc w:val="both"/>
        <w:rPr>
          <w:lang w:val="es-AR" w:eastAsia="es-AR" w:bidi="es-AR"/>
        </w:rPr>
      </w:pPr>
      <w:r>
        <w:rPr>
          <w:lang w:val="es-AR" w:eastAsia="es-AR" w:bidi="es-AR"/>
        </w:rPr>
        <w:t xml:space="preserve">De esto se desprende claramente que la postura sostenida por la quejosa es correcta, en cuanto en la maniobra de sobrepaso o adelantamiento del conductor del Volvo y su acoplado, el mismo se encuentra con la presencia de un bache, descripto por el experto, y ello sin duda alguna determinó alguna  maniobra que no le permitió mantener la distancia adecuada con el camión Chevrolet al que sobrepasó, aportando una causalidad al evento dañoso de tal entidad que se convirtió en una concausa del hecho dañoso de gran entidad.-</w:t>
      </w:r>
    </w:p>
    <w:p>
      <w:pPr>
        <w:pStyle w:val="[Normal]"/>
        <w:spacing w:line="360" w:lineRule="auto"/>
        <w:ind w:firstLine="1134"/>
        <w:jc w:val="both"/>
        <w:rPr>
          <w:lang w:val="es-AR" w:eastAsia="es-AR" w:bidi="es-AR"/>
        </w:rPr>
      </w:pPr>
      <w:r>
        <w:rPr>
          <w:lang w:val="es-AR" w:eastAsia="es-AR" w:bidi="es-AR"/>
        </w:rPr>
        <w:t xml:space="preserve">Es de notar que el perito describe una maniobra de frenado del camión conducido por Pampín, - cuando el sobrepasado advierte la detención o disminución de velocidad que se produce en el Volvo, producida seguramente al divisar la existencia del bache, no obstante lo cual no logra salvar su vida.- </w:t>
      </w:r>
    </w:p>
    <w:p>
      <w:pPr>
        <w:pStyle w:val="[Normal]"/>
        <w:spacing w:line="360" w:lineRule="auto"/>
        <w:ind w:firstLine="1134"/>
        <w:jc w:val="both"/>
        <w:rPr>
          <w:lang w:val="es-AR" w:eastAsia="es-AR" w:bidi="es-AR"/>
        </w:rPr>
      </w:pPr>
      <w:r>
        <w:rPr>
          <w:lang w:val="es-AR" w:eastAsia="es-AR" w:bidi="es-AR"/>
        </w:rPr>
        <w:t xml:space="preserve">Es de destacar que el experto informa que es probable por las circunstancias del bache o deformación que se advierte en la foto P 1510 que el Volvo lo estuviera atravesando a muy baja velocidad para evitar roturas, y de ello entonces cabe inferir que al disminuir de tal modo su velocidad, no guardó  la distancia necesaria con el Chevrolet al que había sobrepasado, provocando el embistimiento trasero de quien venía circulando correctamente.-</w:t>
      </w:r>
    </w:p>
    <w:p>
      <w:pPr>
        <w:pStyle w:val="[Normal]"/>
        <w:spacing w:line="360" w:lineRule="auto"/>
        <w:ind w:firstLine="1134"/>
        <w:jc w:val="both"/>
        <w:rPr>
          <w:lang w:val="es-AR" w:eastAsia="es-AR" w:bidi="es-AR"/>
        </w:rPr>
      </w:pPr>
      <w:r>
        <w:rPr>
          <w:lang w:val="es-AR" w:eastAsia="es-AR" w:bidi="es-AR"/>
        </w:rPr>
        <w:t xml:space="preserve">También voy a atender la queja en el punto relativo a la valoración del testigo Fernandez, -otrora desechado por el juez por la singularidad y la falta de otras pruebas corroborrantes,- en tanto ello no es así.  Es que el testimonio debe ser apreciado en función de los diversos elementos que lo integran: percepción, memoria y comunicación, sopesando las condiciones individuales y genéricas del testigo; ambas condiciones en definitiva, dependen de la naturaleza del hecho atestiguado, es decir que sea más o menor verosímil, más o menos fácil de percibir y recordar, de acuerdo a las circunstancias, tiempo, lugar, velocidad, luz (Cam. Nac. Civil Sala F) Der. v. 92p. 334 ).-</w:t>
      </w:r>
    </w:p>
    <w:p>
      <w:pPr>
        <w:pStyle w:val="[Normal]"/>
        <w:spacing w:line="360" w:lineRule="auto"/>
        <w:ind w:firstLine="1134"/>
        <w:jc w:val="both"/>
        <w:rPr>
          <w:lang w:val="es-AR" w:eastAsia="es-AR" w:bidi="es-AR"/>
        </w:rPr>
      </w:pPr>
      <w:r>
        <w:rPr>
          <w:lang w:val="es-AR" w:eastAsia="es-AR" w:bidi="es-AR"/>
        </w:rPr>
        <w:t xml:space="preserve">La eficacia de la prueba testimonial debe ser apreciada en su conjunto con el resto de los  medios de prueba, de acuerdo a las reglas de la sana critica (art. 386 del CPCC y su doctrina).  Y como regla insistir en una apreciación integral tomando a la testimonial como parte de un todo, desde que las declaraciones no son compartimentos estancos.  La atomización de cada contestación conduce al polo opuesto de lo que es la sana crítica, y a esta última cabe gobernar siempre la apreciación y valoración de los dichos en cuestión.( Cfr. Cám. Nac. esp. Civ. Sala I La Ley 1983, v. C. p. 225).-</w:t>
      </w:r>
    </w:p>
    <w:p>
      <w:pPr>
        <w:pStyle w:val="[Normal]"/>
        <w:spacing w:line="360" w:lineRule="auto"/>
        <w:ind w:firstLine="1134"/>
        <w:jc w:val="both"/>
        <w:rPr>
          <w:lang w:val="es-AR" w:eastAsia="es-AR" w:bidi="es-AR"/>
        </w:rPr>
      </w:pPr>
      <w:r>
        <w:rPr>
          <w:lang w:val="es-AR" w:eastAsia="es-AR" w:bidi="es-AR"/>
        </w:rPr>
        <w:t xml:space="preserve">Esta Alzada, se ha expedido en relación a la eficacia de la declaración del llamado "testigo único",: "La falta de fuerza probatoria de este relato no se motiva en su calidad de testigo único sino que no hay posibilidad de concordancia con otras pruebas o presunciones sobre el hecho, ya que en la causa no luce elemento probatorio respecto de la mecánica que pueda ser tenido en cuenta para confrontar esta prueba.  En tal sentido ha dicho nuestro Supremo Tribunal Provincial que: "...si el dicho de un solo testigo no es convincente, puede dejarse de lado, no porque el testigo sea único sino porque su declaración carece de fuerza probatoria" (Cfr SCBA Ac y Sent. v.V p. 608 v. 160) (Cám. Apelaciones en los Civil y Comercial Deptal. Expte. Nro. 2412-14 caratulados "FISTANICH, MÓNICA C/ HERRERA, JOSÉ Y OTROS S/ DAÑOS Y PERJUICIOS", del 5 de diciembre de 2017).-</w:t>
      </w:r>
    </w:p>
    <w:p>
      <w:pPr>
        <w:pStyle w:val="[Normal]"/>
        <w:spacing w:line="360" w:lineRule="auto"/>
        <w:ind w:firstLine="1134"/>
        <w:jc w:val="both"/>
        <w:rPr>
          <w:lang w:val="es-AR" w:eastAsia="es-AR" w:bidi="es-AR"/>
        </w:rPr>
      </w:pPr>
      <w:r>
        <w:rPr>
          <w:lang w:val="es-AR" w:eastAsia="es-AR" w:bidi="es-AR"/>
        </w:rPr>
        <w:t xml:space="preserve">En la especie, lo relatado por el testigo, quien prestara declaración en las audiencias de vista de causa enumeradas en las grabaciones de los CD de fs. 254 del Expte. 61.347 y fs 187 del Expte. 59.820, resulta corroborado por las conclusiones del experto oficial en la causa civil, donde efectivamente se habla de que luego del adelantamiento hubo una maniobra de frenado por parte del Volvo, que justamente lleva a la valoración de la pérdida de distancia con el camión Chevrolet, circunstancia que provocara el accidente y la muerte de Pampín.-</w:t>
      </w:r>
    </w:p>
    <w:p>
      <w:pPr>
        <w:pStyle w:val="[Normal]"/>
        <w:spacing w:line="360" w:lineRule="auto"/>
        <w:ind w:firstLine="1134"/>
        <w:jc w:val="both"/>
        <w:rPr>
          <w:lang w:val="es-AR" w:eastAsia="es-AR" w:bidi="es-AR"/>
        </w:rPr>
      </w:pPr>
      <w:r>
        <w:rPr>
          <w:lang w:val="es-AR" w:eastAsia="es-AR" w:bidi="es-AR"/>
        </w:rPr>
        <w:t xml:space="preserve">El hecho de que el testigo no fuera mencionado en las actuaciones policiales no le quita mérito ni consistencia a su declaración, en cuanto la misma se produjo con todas las exigencias de ley en la vista de causa y sus dichos resultan corroborados con el informe pericial del Ingeniero Murphy perito oficial departamental.  Además han dado válidos motivos de porqué no ha figurado en las actuaciones policiales en tanto se aclaró que Fernandez "siguió viaje" ya que venía circulando.-</w:t>
      </w:r>
    </w:p>
    <w:p>
      <w:pPr>
        <w:pStyle w:val="[Normal]"/>
        <w:spacing w:line="360" w:lineRule="auto"/>
        <w:ind w:firstLine="1134"/>
        <w:jc w:val="both"/>
        <w:rPr>
          <w:lang w:val="es-AR" w:eastAsia="es-AR" w:bidi="es-AR"/>
        </w:rPr>
      </w:pPr>
      <w:r>
        <w:rPr>
          <w:lang w:val="es-AR" w:eastAsia="es-AR" w:bidi="es-AR"/>
        </w:rPr>
        <w:t xml:space="preserve">A fs. 100 de la causa penal que tengo a la vista obra el testimonio de Arsenio Fernandez prestado por ante la Fiscalia de Instrucción Nro. 5 y en forma textual expone "Que el día de los hechos investigados el declarante circulaba en un camión Ford 1722 de su hijo en dirección a Rosario-Pergamino, que venía del puerto vacío, por Ruta 32 alrededor de las 17 hs..  Que veo que delante mio circulaba en la misma dirección un camión tanque a 300mt.  Que luego veo pasa, veo que un camión Volvo 440 nuevo, que  circulaba en dirección contraria pasa a un camión mas viejo que circulaba en esa misma dirección a una velocidad.  Que al ver esto apago las luce como para dar aviso que pasara y bajo un poco la velocidad.  Que una vez que lo pasa, logra ponerse delante del camión más viejo, e inmediatamente le clava los frenos ante lo cual el camión que iba atrás no puede evitar impactar contra la parte trasera del semi que iba adelante.  Que el golpe se produce con la cabina del camión de atrás contra el chasis del camión que iba adelante.  Que la cabina quedó destruida y el chasis del camión de adelante apenas golpeado.  Preguntado por la Fiscalía si frenó disminuyó la velocidad el camión de adelante, el declarante responde que "cree que frenó a cero "se lo plantó" "no le dio tiempo al camión de atrás a frenar".-</w:t>
      </w:r>
    </w:p>
    <w:p>
      <w:pPr>
        <w:pStyle w:val="[Normal]"/>
        <w:spacing w:line="360" w:lineRule="auto"/>
        <w:ind w:firstLine="1134"/>
        <w:jc w:val="both"/>
        <w:rPr>
          <w:lang w:val="es-AR" w:eastAsia="es-AR" w:bidi="es-AR"/>
        </w:rPr>
      </w:pPr>
      <w:r>
        <w:rPr>
          <w:lang w:val="es-AR" w:eastAsia="es-AR" w:bidi="es-AR"/>
        </w:rPr>
        <w:t xml:space="preserve">Este testimonio fue descalificado por el aquo en tanto argumentó que no fue mencionado en las diligencias policiales inmediatas, pero lo cierto es que esa circunstancia de ningún modo descalifican la veracidad y credibilidad del testigo, quien declaró ante la Fiscalía y luego en la vista de causa, por el delito de</w:t>
      </w:r>
      <w:r>
        <w:rPr>
          <w:b/>
          <w:lang w:val="es-AR" w:eastAsia="es-AR" w:bidi="es-AR"/>
        </w:rPr>
        <w:t xml:space="preserve"> homicidio </w:t>
      </w:r>
      <w:r>
        <w:rPr>
          <w:lang w:val="es-AR" w:eastAsia="es-AR" w:bidi="es-AR"/>
        </w:rPr>
        <w:t xml:space="preserve"> culposo que se instruyera contra Gustavo Ariel Zapata.-</w:t>
      </w:r>
    </w:p>
    <w:p>
      <w:pPr>
        <w:pStyle w:val="[Normal]"/>
        <w:spacing w:line="360" w:lineRule="auto"/>
        <w:ind w:firstLine="1134"/>
        <w:jc w:val="both"/>
        <w:rPr>
          <w:lang w:val="es-AR" w:eastAsia="es-AR" w:bidi="es-AR"/>
        </w:rPr>
      </w:pPr>
      <w:r>
        <w:rPr>
          <w:lang w:val="es-AR" w:eastAsia="es-AR" w:bidi="es-AR"/>
        </w:rPr>
        <w:t xml:space="preserve">Este testimonio se ve corroborado con la restante prueba producida que ya he enumerado de la causa penal y civil, y con la pericia practicada por el Perito Oficial en sede civil.-</w:t>
      </w:r>
    </w:p>
    <w:p>
      <w:pPr>
        <w:pStyle w:val="[Normal]"/>
        <w:spacing w:line="360" w:lineRule="auto"/>
        <w:ind w:firstLine="1134"/>
        <w:jc w:val="both"/>
        <w:rPr>
          <w:lang w:val="es-AR" w:eastAsia="es-AR" w:bidi="es-AR"/>
        </w:rPr>
      </w:pPr>
      <w:r>
        <w:rPr>
          <w:lang w:val="es-AR" w:eastAsia="es-AR" w:bidi="es-AR"/>
        </w:rPr>
        <w:t xml:space="preserve">Sabido es que el testimonio debe ser apreciado en función de los diversos elementos que lo integran: percepción, memoria y comunicación, sopesando las condiciones individuales y genéricas del testigo; ambas condiciones en definitiva, dependen de la naturaleza del hecho atestiguado, es decir que sea más o menor verosímil, más o menos fácil de percibir y recordar, de acuerdo a las circunstancias, tiempo, lugar, velocidad, luz (Cam. Nac. Civil Sala F) Der. v. 92p. 334.-</w:t>
      </w:r>
    </w:p>
    <w:p>
      <w:pPr>
        <w:pStyle w:val="[Normal]"/>
        <w:spacing w:line="360" w:lineRule="auto"/>
        <w:ind w:firstLine="1134"/>
        <w:jc w:val="both"/>
        <w:rPr>
          <w:lang w:val="es-AR" w:eastAsia="es-AR" w:bidi="es-AR"/>
        </w:rPr>
      </w:pPr>
      <w:r>
        <w:rPr>
          <w:lang w:val="es-AR" w:eastAsia="es-AR" w:bidi="es-AR"/>
        </w:rPr>
        <w:t xml:space="preserve">La eficacia de la prueba testimonial debe ser apreciada en su conjunto con el resto de los  medios de prueba, de acuerdo a las reglas de la sana critica (art. 386 del CPCC y su doctrina). Y como regla insistir en una apreciación integral tomando a la testimonial como parte de un todo, desde que las declaraciones no son compartimentos estancos.  La atomización de cada contestación conduce al polo opuesto de lo que es la sana crítica, y a esta última cabe gobernar siempre la apreciación y valoración de los dichos en cuestión.( Cfr Cám Nac. esp. Civ. Sala I La Ley 1983, v. C. p. 225).-</w:t>
      </w:r>
    </w:p>
    <w:p>
      <w:pPr>
        <w:pStyle w:val="[Normal]"/>
        <w:spacing w:line="360" w:lineRule="auto"/>
        <w:ind w:firstLine="1134"/>
        <w:jc w:val="both"/>
        <w:rPr>
          <w:lang w:val="es-AR" w:eastAsia="es-AR" w:bidi="es-AR"/>
        </w:rPr>
      </w:pPr>
      <w:r>
        <w:rPr>
          <w:lang w:val="es-AR" w:eastAsia="es-AR" w:bidi="es-AR"/>
        </w:rPr>
        <w:t xml:space="preserve">El relato del testigo Fernandez resulta compatible también con el informe de tacómetro de fs. 68 de la causa penal, que demuestra que el camión Volvo circulaba a 41 km por hora, subió su velocidad a más del doble ,(84 km) para luego plantarse a cero como describió el deponente.-</w:t>
      </w:r>
    </w:p>
    <w:p>
      <w:pPr>
        <w:pStyle w:val="[Normal]"/>
        <w:spacing w:line="360" w:lineRule="auto"/>
        <w:ind w:firstLine="1134"/>
        <w:jc w:val="both"/>
        <w:rPr>
          <w:lang w:val="es-AR" w:eastAsia="es-AR" w:bidi="es-AR"/>
        </w:rPr>
      </w:pPr>
      <w:r>
        <w:rPr>
          <w:lang w:val="es-AR" w:eastAsia="es-AR" w:bidi="es-AR"/>
        </w:rPr>
        <w:t xml:space="preserve">Asimismo esta maniobra realizada por el camión Volvo de sobrepaso y frenado en plena ruta fue realizada en un lugar donde hay un puente con doble línea amarilla  (conforme el informe accidentológico de fs. 138/160), que impide dicha señalización realizar cualquier maniobra de sobrepaso.-</w:t>
      </w:r>
    </w:p>
    <w:p>
      <w:pPr>
        <w:pStyle w:val="[Normal]"/>
        <w:spacing w:line="360" w:lineRule="auto"/>
        <w:ind w:firstLine="1134"/>
        <w:jc w:val="both"/>
        <w:rPr>
          <w:lang w:val="es-AR" w:eastAsia="es-AR" w:bidi="es-AR"/>
        </w:rPr>
      </w:pPr>
      <w:r>
        <w:rPr>
          <w:lang w:val="es-AR" w:eastAsia="es-AR" w:bidi="es-AR"/>
        </w:rPr>
        <w:t xml:space="preserve">El testigo Arsenio justamente al venir circulando por la mano contraria pudo en forma clara y precisa observar esta maniobra.-</w:t>
      </w:r>
    </w:p>
    <w:p>
      <w:pPr>
        <w:pStyle w:val="[Normal]"/>
        <w:spacing w:line="360" w:lineRule="auto"/>
        <w:ind w:firstLine="1134"/>
        <w:jc w:val="both"/>
        <w:rPr>
          <w:lang w:val="es-AR" w:eastAsia="es-AR" w:bidi="es-AR"/>
        </w:rPr>
      </w:pPr>
      <w:r>
        <w:rPr>
          <w:lang w:val="es-AR" w:eastAsia="es-AR" w:bidi="es-AR"/>
        </w:rPr>
        <w:t xml:space="preserve">La supuesta contradicción que menciona el a quo, resaltada por los quejosos respecto de las dos pericias, una practicada en sede penal y otra en este fuero, dentro del marco de las tres causas tramitadas, no es tal como describe.  Nótese que el perito oficial departamental cuya experticia ya he analizado y presentada mediante escrito electrónico de fecha 3/9/2018 acudió para realizar la misma a todos y cada uno de los elementos de la causa penal 1081/16 y la IPP 12-00-001224-16, enumerando todos los elementos tenidos en cuenta para dar su dictamen, expidiéndose en forma contundente sobre la mecánica, que corroboran los dichos de Fernandez.-</w:t>
      </w:r>
    </w:p>
    <w:p>
      <w:pPr>
        <w:pStyle w:val="[Normal]"/>
        <w:spacing w:line="360" w:lineRule="auto"/>
        <w:ind w:firstLine="1134"/>
        <w:jc w:val="both"/>
        <w:rPr>
          <w:lang w:val="es-AR" w:eastAsia="es-AR" w:bidi="es-AR"/>
        </w:rPr>
      </w:pPr>
      <w:r>
        <w:rPr>
          <w:lang w:val="es-AR" w:eastAsia="es-AR" w:bidi="es-AR"/>
        </w:rPr>
        <w:t xml:space="preserve">Además la eficacia probatoria de ambas pericias son diferentes: el informe en sede penal fue producida en las diligencias preliminares por el Teniente Velazco Técnico en Accidentología y sin control de parte, el del Ingeniero Mecánico Murphy, fue realizado con la debida contradicción y sometido al control e impugnación debida.-</w:t>
      </w:r>
    </w:p>
    <w:p>
      <w:pPr>
        <w:pStyle w:val="[Normal]"/>
        <w:spacing w:line="360" w:lineRule="auto"/>
        <w:ind w:firstLine="1134"/>
        <w:jc w:val="both"/>
        <w:rPr>
          <w:lang w:val="es-AR" w:eastAsia="es-AR" w:bidi="es-AR"/>
        </w:rPr>
      </w:pPr>
      <w:r>
        <w:rPr>
          <w:lang w:val="es-AR" w:eastAsia="es-AR" w:bidi="es-AR"/>
        </w:rPr>
        <w:t xml:space="preserve">Además, del texto del informe del Técnico glosado a fs. 154/161 no surge contradicciones con la mecánica descripta por el Perito Oficial, sino que el primero es mas bien descriptivo.-</w:t>
      </w:r>
    </w:p>
    <w:p>
      <w:pPr>
        <w:pStyle w:val="[Normal]"/>
        <w:spacing w:line="360" w:lineRule="auto"/>
        <w:ind w:firstLine="1134"/>
        <w:jc w:val="both"/>
        <w:rPr>
          <w:lang w:val="es-AR" w:eastAsia="es-AR" w:bidi="es-AR"/>
        </w:rPr>
      </w:pPr>
      <w:r>
        <w:rPr>
          <w:lang w:val="es-AR" w:eastAsia="es-AR" w:bidi="es-AR"/>
        </w:rPr>
        <w:t xml:space="preserve">Traigo a la reflexión en este punto de la prueba un precedente de este Tribunal Nro. 3740/19 donde mi distinguido colega  Roberto Degleue en su primer voto señalara: En relación a la actividad probatoria y la interpretación del juez, se ha dicho que es importante aclarar que aunque la ley en algunos supuestos -y por muy variadas razones de política legislativa- imponga un estándar probatorio agravado (como ocurre con las eximentes de responsabilidad), ello no significa que la actividad probatoria en general deba estar dirigida a generar en el juzgador una “absoluta certeza” sobre el acaecimiento de un hecho controvertido en el que los litigantes sustentan una pretensión o una defensa, premisa a partir de la cual podría inferirse que si no se logra ese estado subjetivo –o no se verifica con esa intensidad– el suceso debe reputarse no acreditado.  Esta idea puede merecer dos objeciones.  La primera es que la actividad probatoria no debe quedar reducida únicamente a la creación de estados subjetivos del juzgador que reflejen su parecer sobre una cierta hipótesis de hecho (v.gr, certeza, persuasión, convencimiento, intuición, etcétera).  Al valorar la evidencia producida por las partes –junto con toda otra información que surja verificada en la causa– no caben dudas que los magistrados formamos un juicio sobre si un hecho ocurrió o no (o si sucedió como la parte lo narra o de una manera distinta).  Pero mientras que en algunos casos esa reflexión o juicio interno es definido, moldeado y condicionado por factores enteramente aceptables de conformidad con las reglas que rigen el proceso judicial (v.gr., la cantidad, calidad y credibilidad de las pruebas, su valoración a la luz de las máximas de la experiencia y demás reglas de la sana crítica), en otros casos bien puede obedecer a parámetros inverificables, quizás inconscientes y que por ello no resultan admisibles (v.gr. intuiciones, meras sensaciones, preconceptos sobre el caso, sesgos cognitivos, etcétera).  Por ello, es muy importante que esa convicción -o certeza- no se repute técnicamente suficiente para justificar una conclusión vinculada a la quaestio facti: la valoración racional de la prueba impone al juez el deber de demostrar y argumentar cuáles son los elementos que objetivamente transforman aquella creencia [esa certeza, ese convencimiento] en un juicio razonable y aceptable.  El deber de motivar una sentencia obliga al juez a explicar de qué manera aquel estado subjetivo interno no es consecuencia de una mera intuición o sensación infundada, sino que es una convicción razonable, justificada, aceptable y compartible por un auditorio racional, teniendo en cuenta el valor convictivo de cada una de las pruebas producidas en la causa.  Estas exigencias de motivación objetivizan el parecer subjetivo del juez y lo hacen susceptible de control y de crítica. Quiero decir con lo anterior que probar no es solamente convencer al juez; probar es presentar elementos de convicción cuya valoración racional por parte del juzgador le permita concluir que la hipótesis de hecho invocada por la parte es -en una medida social y legalmente aceptable- probablemente verdadera.  Y aquí mi segunda objeción: el grado de confirmación que impone el estándar probatorio en el proceso civil lejos está de exigir valores absolutos.  El proceso judicial es un método de debate que tiene pretensiones epistémicas muy modestas: se intenta buscar una verdad, pero ella difícilmente pueda juzgarse absoluta o infranqueable.  Múltiples normas procesales que tutelan otros valores constitucionales muy importantes dificultan o incluso impiden acceder a la verdad (e.g., la preclusión, las reglas sobre negligencias y caducidades probatorias, normas sobre pruebas ilícitas, etc.).  Solo lograremos, en el mejor de los casos, verificar la probabilidad -más alta, más baja- de que los enunciados de hecho que los litigantes invocan sean o no verdaderos.  Cuando esa probabilidad supera el mínimo que el legislador establece mediante el estándar de prueba (regulado, aunque sin mayor precisión, en nuestro art. 384 del CPCCBA), el magistrado se encontrará habilitado para considerar verdadera una hipótesis de hecho e incluirla en la premisa fáctica de su razonamiento decisional. Pero he aquí el punto a destacar: se trata de una verdad relativa y probable, nunca absoluta".- CC0102 MP 137518 27-S S 14/02/2018 - Carátula: SANTECCHIA, GUILLERMO JUAN Y OT. C/ BASILE, RUBÉN ALFREDO Y OT. S/ DAÑOS Y PERJUICIOS - Sumario Juba: B5042049).-</w:t>
      </w:r>
    </w:p>
    <w:p>
      <w:pPr>
        <w:pStyle w:val="[Normal]"/>
        <w:spacing w:line="360" w:lineRule="auto"/>
        <w:ind w:firstLine="1134"/>
        <w:jc w:val="both"/>
        <w:rPr>
          <w:lang w:val="es-AR" w:eastAsia="es-AR" w:bidi="es-AR"/>
        </w:rPr>
      </w:pPr>
      <w:r>
        <w:rPr>
          <w:lang w:val="es-AR" w:eastAsia="es-AR" w:bidi="es-AR"/>
        </w:rPr>
        <w:t xml:space="preserve">Desde aquí el análisis de la eficacia probatoria de los elementos traídos en autos conforme las reglas de la sana crítica llevan a una interpretación diferente a la lograda por el juez de la primera instancia (art. 384 del CPCC y su doctrina).-</w:t>
      </w:r>
    </w:p>
    <w:p>
      <w:pPr>
        <w:pStyle w:val="[Normal]"/>
        <w:spacing w:line="360" w:lineRule="auto"/>
        <w:ind w:firstLine="1134"/>
        <w:jc w:val="both"/>
        <w:rPr>
          <w:lang w:val="es-AR" w:eastAsia="es-AR" w:bidi="es-AR"/>
        </w:rPr>
      </w:pPr>
      <w:r>
        <w:rPr>
          <w:lang w:val="es-AR" w:eastAsia="es-AR" w:bidi="es-AR"/>
        </w:rPr>
        <w:t xml:space="preserve">b).-CAUSALIDAD:  me voy a detener en el tema de la causalidad, también puesta en crisis por los apelantes, siendo menester la búsqueda de la causalidad jurídica, y no la física, esta última  tomada por el operador a través de la aplicación de la presunción en la que motivara su decisorio.-</w:t>
      </w:r>
    </w:p>
    <w:p>
      <w:pPr>
        <w:pStyle w:val="[Normal]"/>
        <w:spacing w:line="360" w:lineRule="auto"/>
        <w:ind w:firstLine="1134"/>
        <w:jc w:val="both"/>
        <w:rPr>
          <w:lang w:val="es-AR" w:eastAsia="es-AR" w:bidi="es-AR"/>
        </w:rPr>
      </w:pPr>
      <w:r>
        <w:rPr>
          <w:lang w:val="es-AR" w:eastAsia="es-AR" w:bidi="es-AR"/>
        </w:rPr>
        <w:t xml:space="preserve">En verdad, nuestro sistema positivo ha seguido la teoría de la causalidad adecuado con concesiones a otras posturas tales como la causalidad eficiente (en la concurrencia de culpas) o la equivalencia de las condiciones (accidentes de trabajo), en este derrotero considero de vital importancia la aplicación de estas reglas para desentrañarla en la especie.-</w:t>
      </w:r>
    </w:p>
    <w:p>
      <w:pPr>
        <w:pStyle w:val="[Normal]"/>
        <w:spacing w:line="360" w:lineRule="auto"/>
        <w:ind w:firstLine="1134"/>
        <w:jc w:val="both"/>
        <w:rPr>
          <w:lang w:val="es-AR" w:eastAsia="es-AR" w:bidi="es-AR"/>
        </w:rPr>
      </w:pPr>
      <w:r>
        <w:rPr>
          <w:lang w:val="es-AR" w:eastAsia="es-AR" w:bidi="es-AR"/>
        </w:rPr>
        <w:t xml:space="preserve">Se ha dicho claramente que "Para establecer la causa de un daño es necesario hacer un juicio de probabilidad determinando que aquél se halla en conexión causal adecuada con el acto ilícito, o sea, que el efecto dañoso es el que debía resultar normalmente de la acción u omisión antijurídica, según el orden natural y ordinario de las cosas (art. 901, C.C.). El vínculo de causalidad exige una relación efectiva y adecuada (normal), entre una acción u omisión y el daño: éste debe haber sido causado u ocasionado por aquélla (arts. 1068, 1074, 1109, 1111, 1113, 1114 del Código Civil).CCI Art. 1074 | CCI Art. 1113 | CCI Art. 1109 | CCI Art. 1114 | CCI Art. 1068 | CCI Art. 1111 SCBA LP C 118399 S 17/05/2021 Juez PETTIGIANI (MI) Carátula: Tornielli, Néstor y otra c/ Chamorro José y otros s/ Daños y Perjuicios Magistrados Votantes: Pettigiani - Soria - Genoud - Kogan -Torres, Tribunal Origen: CC0103LP , SCBA LP C 121608 S 08/08/2018,  SCBA LP C 119733 S 28/06/2017 ,SCBA LP C 98961 S 18/05/2011 J, SCBA LP C 97827 S 09/06/2010 Juez GENOUD (SD), SCBA LP C 98596 S 08/07/2009 Juez GENOUD (SD).-</w:t>
      </w:r>
    </w:p>
    <w:p>
      <w:pPr>
        <w:pStyle w:val="[Normal]"/>
        <w:spacing w:line="360" w:lineRule="auto"/>
        <w:ind w:firstLine="1134"/>
        <w:jc w:val="both"/>
        <w:rPr>
          <w:lang w:val="es-AR" w:eastAsia="es-AR" w:bidi="es-AR"/>
        </w:rPr>
      </w:pPr>
      <w:r>
        <w:rPr>
          <w:lang w:val="es-AR" w:eastAsia="es-AR" w:bidi="es-AR"/>
        </w:rPr>
        <w:t xml:space="preserve">"El principio de causalidad adecuada tiene expresa recepción en nuestro ordenamiento (art. 906 del Código Civil).  El punto cierto con que contamos ha de ser evaluado y complementado a la vista del conjunto de circunstancias computables que se verifiquen en el proceso, en función de la posibilidad y probabilidad de un resultado, atendiendo a lo que corrientemente acaece según lo indica la experiencia en orden al curso ordinario de los acontecimientos.  El concepto de causalidad adecuada implica, pues, el de regularidad, apreciada de conformidad con lo que acostumbra suceder en la vida misma, debiéndose determinar ex post facto la posibilidad de un resultado en función de las condiciones precedentes.  Es un examen de carácter objetivo, ya que se hace sobre la base de la apreciación de la regularidad de las consecuencias. "CCI Art. 906 |SCBA LP C 123043 S 21/10/2020 Juez GENOUD (MA).-</w:t>
      </w:r>
    </w:p>
    <w:p>
      <w:pPr>
        <w:pStyle w:val="[Normal]"/>
        <w:spacing w:line="360" w:lineRule="auto"/>
        <w:ind w:firstLine="1134"/>
        <w:jc w:val="both"/>
        <w:rPr>
          <w:lang w:val="es-AR" w:eastAsia="es-AR" w:bidi="es-AR"/>
        </w:rPr>
      </w:pPr>
      <w:r>
        <w:rPr>
          <w:lang w:val="es-AR" w:eastAsia="es-AR" w:bidi="es-AR"/>
        </w:rPr>
        <w:t xml:space="preserve">A mayor abundamiento se ha señalado que "La causa de un daño es aquella que según el curso natural y ordinario de las cosas es idónea para producir un resultado.  Para ello, conforme la teoría de la causalidad adecuada, es necesario formular un juicio de probabilidad, o sea, considerar si la acción u omisión del presunto responsable era idónea para producir regular o normalmente un resultado; y ese juicio de probabilidad no puede hacerse sino en función de lo que un hombre de mentalidad normal, juzgada ella en abstracto, hubiese podido prever como resultado de su acto.  Si bien la causalidad es material, o sea que alude al encadenamiento de los fenómenos que acontecen externamente en relación al hombre, interesa determinar jurídicamente el nexo causal para imputar a éste un resultado, y es aquí, precisamente, donde no puede prescindirse de una apreciación racional, referida la aptitud normal de previsibilidad considerada en abstracto, es decir, objetivamenteCC0203 LP 123863 RSD-33-19 S 28/02/2019 Juez SOTO (SD).-</w:t>
      </w:r>
    </w:p>
    <w:p>
      <w:pPr>
        <w:pStyle w:val="[Normal]"/>
        <w:spacing w:line="360" w:lineRule="auto"/>
        <w:ind w:firstLine="1134"/>
        <w:jc w:val="both"/>
        <w:rPr>
          <w:lang w:val="es-AR" w:eastAsia="es-AR" w:bidi="es-AR"/>
        </w:rPr>
      </w:pPr>
      <w:r>
        <w:rPr>
          <w:lang w:val="es-AR" w:eastAsia="es-AR" w:bidi="es-AR"/>
        </w:rPr>
        <w:t xml:space="preserve">"...La "causalidad adecuada" actúa como factor aglutinante que hace que el daño y el riesgo, se integre en la unidad del acto que es fuente de la obligación de indemnizar. Nos habla de "regularidad", apreciada de conformidad con lo que acostumbra a suceder en la vida.  Para que exista "relación causal adecuada" la acción debe ser idónea para producir el resultado operado; en más, tiene que determinarlo normalmente. La noción de causalidad adecuada supone, pues, necesariamente, pluralidad de casos. No es suficiente por tanto, que un hecho aparezca como condición de un evento si regularmente no trae aparejado ese resultado.  Y para establecer tal vinculación de causa - efecto es menester realizar un juicio retrospectivo cuya formulación resulta la siguiente: ¿la acción que se juzga es apta o adecuada para provocar normalmente esa consecuencia?, lo que implica apreciar la idoneidad causal de la conducta en cuánto al resultado, ello en abstracto, con prescindencia de lo efectivamente sucedido, procedimiento rotulado como "prognosis póstuma" que apunta esencialmente a formular un cálculo de probabilidades.  Consecuentemente la causalidad adecuada nos habla de "probabilidad en abstracto" (art. 901 del Cód. Civil), según la normalidad de las consecuencias en sí mismas captadas por la experiencia vital.  Es en síntesis, lo que un hombre normal, juzgado en abstracto, hubiera podido prever como resultado de su acto."CC0002 SM 74183 RSD-358/18 S 27/12/2018 Juez SCARPATI (SD)Carátula: "SANCHEZ, MARIANO C/ ADORNO IRRAZABAL, JAVIER ESTEBAN Y OTRO S/ DAÑOS Y PERJUICIOS" Magistrados Votantes: Scarpati-PerezTribunal Origen: JC0300.-</w:t>
      </w:r>
    </w:p>
    <w:p>
      <w:pPr>
        <w:pStyle w:val="[Normal]"/>
        <w:spacing w:line="360" w:lineRule="auto"/>
        <w:ind w:firstLine="1134"/>
        <w:jc w:val="both"/>
        <w:rPr>
          <w:lang w:val="es-AR" w:eastAsia="es-AR" w:bidi="es-AR"/>
        </w:rPr>
      </w:pPr>
      <w:r>
        <w:rPr>
          <w:lang w:val="es-AR" w:eastAsia="es-AR" w:bidi="es-AR"/>
        </w:rPr>
        <w:t xml:space="preserve">"...la causalidad tiene por objeto establecer cuándo y en qué condiciones un resultado cualquiera, más concretamente un daño, debe ser imputado objetivamente a la acción u omisión de una persona. Conforme la "causalidad adecuada" adoptada por nuestra legislación sólo es causa idónea de un daño el hecho que normalmente y de cuerdo al curso natural de los acontecimientos produce ese resultado.  O sea que para determinar la relación de causalidad debe realizarse un juicio retrospectivo y abstracto de probabilidad, aplicando la idea de regularidad de consecuencias ante igualdad de situaciones..."CC0002 SM 62473 RSD274 S 23/10/2018Carátula: "RODRIGUEZ, MARTA NELIDA C/ CASTILLO, LUIS ABELARDO S/ DAÑOS Y PERJUICIOS".-</w:t>
      </w:r>
    </w:p>
    <w:p>
      <w:pPr>
        <w:pStyle w:val="[Normal]"/>
        <w:spacing w:line="360" w:lineRule="auto"/>
        <w:ind w:firstLine="1134"/>
        <w:jc w:val="both"/>
        <w:rPr>
          <w:lang w:val="es-AR" w:eastAsia="es-AR" w:bidi="es-AR"/>
        </w:rPr>
      </w:pPr>
      <w:r>
        <w:rPr>
          <w:lang w:val="es-AR" w:eastAsia="es-AR" w:bidi="es-AR"/>
        </w:rPr>
        <w:t xml:space="preserve">Desde aquí entiendo que la maniobra de sobrepaso concretada por el demandado Zapata, al comando de su camión Volvo con Semiturni, y frente a la existencia de un bache en la ruta, provocó una reducción de velocidad y al ponerse por delante del camión Chevrolet, sin guardar la necesaria distancia, provocó el embistimiento por parte de Pampín, quien falleciera en el evento.-</w:t>
      </w:r>
    </w:p>
    <w:p>
      <w:pPr>
        <w:pStyle w:val="[Normal]"/>
        <w:spacing w:line="360" w:lineRule="auto"/>
        <w:ind w:firstLine="1134"/>
        <w:jc w:val="both"/>
        <w:rPr>
          <w:lang w:val="es-AR" w:eastAsia="es-AR" w:bidi="es-AR"/>
        </w:rPr>
      </w:pPr>
      <w:r>
        <w:rPr>
          <w:lang w:val="es-AR" w:eastAsia="es-AR" w:bidi="es-AR"/>
        </w:rPr>
        <w:t xml:space="preserve">Ello así, "Frente a una pluralidad de condiciones necesarias, es menester saltar por sobre el plano de la causalidad natural o simple, para aislar e individualizar de entre todas esas condiciones a aquélla que, en el plano estrictamente jurídico, posee la idoneidad y relevancia suficiente para erigirse en la causa adecuada del daño. SCBA LP C 121608 S 08/08/2018 Juez PETTIGIANI (SD)Carátula: M., P. y otro c/ Clínica Boedo S.R.L. y otros s/ Daños y perjuicios Magistrados Votantes: Pettigiani-Soria-de Lázzari-GenoudSCBA LP Ac 91215 S 05/04/2006 Juez RONCORONI (SD).-</w:t>
      </w:r>
    </w:p>
    <w:p>
      <w:pPr>
        <w:pStyle w:val="[Normal]"/>
        <w:spacing w:line="360" w:lineRule="auto"/>
        <w:ind w:firstLine="1134"/>
        <w:jc w:val="both"/>
        <w:rPr>
          <w:lang w:val="es-AR" w:eastAsia="es-AR" w:bidi="es-AR"/>
        </w:rPr>
      </w:pPr>
      <w:r>
        <w:rPr>
          <w:lang w:val="es-AR" w:eastAsia="es-AR" w:bidi="es-AR"/>
        </w:rPr>
        <w:t xml:space="preserve">En la especie, y contrariamente a lo sostenido por el juez de grado, el demandado no ha probado que la causalidad adecuada en la ocurrencia del hecho dañoso, la puso en su totalidad la victima o un tercero por quien no debe responder, sino que por el contrario de la conducta descripta surge que fue el propio demandado quien hizo el mayor aporte causal para provocar el evento dañoso.-</w:t>
      </w:r>
    </w:p>
    <w:p>
      <w:pPr>
        <w:pStyle w:val="[Normal]"/>
        <w:spacing w:line="360" w:lineRule="auto"/>
        <w:ind w:firstLine="1134"/>
        <w:jc w:val="both"/>
        <w:rPr>
          <w:lang w:val="es-AR" w:eastAsia="es-AR" w:bidi="es-AR"/>
        </w:rPr>
      </w:pPr>
      <w:r>
        <w:rPr>
          <w:lang w:val="es-AR" w:eastAsia="es-AR" w:bidi="es-AR"/>
        </w:rPr>
        <w:t xml:space="preserve">La calidad de embistente o embestido no resulta un elemento de juicio decisivo, susceptible de bastarse por sí mismo para determinar la responsabilidad de los conductores, dado que siempre habrá que estar y sopesarse las circunstancias que rodean el caso particular e indagarse sobre la causalidad adecuada CC0202 LP 118917 195 S 29/12/2015 Juez BERMEJO.-</w:t>
      </w:r>
    </w:p>
    <w:p>
      <w:pPr>
        <w:pStyle w:val="[Normal]"/>
        <w:spacing w:line="360" w:lineRule="auto"/>
        <w:ind w:firstLine="1134"/>
        <w:jc w:val="both"/>
        <w:rPr>
          <w:lang w:val="es-AR" w:eastAsia="es-AR" w:bidi="es-AR"/>
        </w:rPr>
      </w:pPr>
      <w:r>
        <w:rPr>
          <w:lang w:val="es-AR" w:eastAsia="es-AR" w:bidi="es-AR"/>
        </w:rPr>
        <w:t xml:space="preserve">"...La teoría de la adecuación no es una teoría causal, sino una teoría de imputación; no dice cuándo una circunstancia es causal respecto de un resultado, sino que intenta dar una respuesta a la pregunta de qué circunstancias causales son jurídicamente relevantes y le pueden ser imputadas a un agente. De modo tal que la teoría de la "causa adecuada" no es una teoría causal sino una teoría de imputación de las consecuencias, en cuyo marco se interrelacionan la imputación física (causalidad) y la imputación moral (voluntariedad y previsibilidad). En este derrotero, determinar la causalidad adecuada implica discernir jurídicamente el encadenamiento que existe entre una situación antecedente (acción-omisión) y su resultado (daño).  Y en ello va implicado un proceso de discernimiento a través de los conceptos de "normalidad", "previsibilidad" e "imputación". Básicamente el proceso de asignación causal se apoya en la "previsibilidad en abstracto del resultado dañoso producido", lo que implica indagar si la conducta que se endilga, es apta o idónea para ocasionar el daño producido, ello según el curso "natural y ordinario de las cosas" ..."CCI Art. 901 | CPCB Art. 375 Ver Norma | CPCB Art. 376 Ver Norma | CPCB Art. 377 Ver Norma | CPCB Art. 378 Ver Norma | CPCB Art. 379 Ver Norma | CPCB Art. 380 Ver Norma | CPCB Art. 381 Ver Norma | CPCB Art. 382 Ver Norma | CPCB Art. 383 Ver Norma | CPCB Art. 384.-</w:t>
      </w:r>
    </w:p>
    <w:p>
      <w:pPr>
        <w:pStyle w:val="[Normal]"/>
        <w:spacing w:line="360" w:lineRule="auto"/>
        <w:ind w:firstLine="1134"/>
        <w:jc w:val="both"/>
        <w:rPr>
          <w:lang w:val="es-AR" w:eastAsia="es-AR" w:bidi="es-AR"/>
        </w:rPr>
      </w:pPr>
      <w:r>
        <w:rPr>
          <w:lang w:val="es-AR" w:eastAsia="es-AR" w:bidi="es-AR"/>
        </w:rPr>
        <w:t xml:space="preserve">Cabe concluir entonces luego de este desarrollo que en la especie, impuesta la teoría de la causalidad adecuada, solo cabe tener en cuenta aquellas condiciones que, por su existencia, han vuelto objetivamente posible la realización del perjuicio, y esas condiciones fueron puestas en su mayoría por el demandado Zapata.-</w:t>
      </w:r>
    </w:p>
    <w:p>
      <w:pPr>
        <w:pStyle w:val="[Normal]"/>
        <w:spacing w:line="360" w:lineRule="auto"/>
        <w:ind w:firstLine="1134"/>
        <w:jc w:val="both"/>
        <w:rPr>
          <w:lang w:val="es-AR" w:eastAsia="es-AR" w:bidi="es-AR"/>
        </w:rPr>
      </w:pPr>
      <w:r>
        <w:rPr>
          <w:lang w:val="es-AR" w:eastAsia="es-AR" w:bidi="es-AR"/>
        </w:rPr>
        <w:t xml:space="preserve">La causalidad permite la distribución de los aportes, y conduciendo ambos chóferes una cosa riesgosa, entiendo que la distribución tendrá en cuenta que el mayor aporte causal fue puesto por la parte demandada, en consecuencia se le atribuye el 80% del total de responsabilidad en el evento, y el 20% restante a la parte actora, al comando también de una cosa per se peligrosa generadora de riesgo.-</w:t>
      </w:r>
    </w:p>
    <w:p>
      <w:pPr>
        <w:pStyle w:val="[Normal]"/>
        <w:spacing w:line="360" w:lineRule="auto"/>
        <w:ind w:firstLine="1134"/>
        <w:jc w:val="both"/>
        <w:rPr>
          <w:lang w:val="es-AR" w:eastAsia="es-AR" w:bidi="es-AR"/>
        </w:rPr>
      </w:pPr>
      <w:r>
        <w:rPr>
          <w:lang w:val="es-AR" w:eastAsia="es-AR" w:bidi="es-AR"/>
        </w:rPr>
        <w:t xml:space="preserve">8) </w:t>
      </w:r>
      <w:r>
        <w:rPr>
          <w:b/>
          <w:lang w:val="es-AR" w:eastAsia="es-AR" w:bidi="es-AR"/>
        </w:rPr>
        <w:t xml:space="preserve">RUBROS Y SU CUANTIFICACION</w:t>
      </w:r>
      <w:r>
        <w:rPr>
          <w:lang w:val="es-AR" w:eastAsia="es-AR" w:bidi="es-AR"/>
        </w:rPr>
        <w:t xml:space="preserve">: 1) Los actores Juan Ramón Pampin y Estela Mónica Chaves, invocando su calidad de progenitores del fallecido en el accidente de tránsito Juan Alejandro Pampin, quien tenía 31 años de edad a la fecha del siniestro y trabajaba como chófer de la firma Transportes None S.A. solicitaron los siguientes rubros:</w:t>
      </w:r>
    </w:p>
    <w:p>
      <w:pPr>
        <w:pStyle w:val="[Normal]"/>
        <w:spacing w:line="360" w:lineRule="auto"/>
        <w:ind w:firstLine="1134"/>
        <w:jc w:val="both"/>
        <w:rPr>
          <w:lang w:val="es-AR" w:eastAsia="es-AR" w:bidi="es-AR"/>
        </w:rPr>
      </w:pPr>
      <w:r>
        <w:rPr>
          <w:lang w:val="es-AR" w:eastAsia="es-AR" w:bidi="es-AR"/>
        </w:rPr>
        <w:t xml:space="preserve">a) Daño material: invocando que trabajaba y a esa época ganaba $ 20.000 mensuales, aduciendo que se encontraba separado y vivía y ayudaba económicamente a los reclamantes con un aporte de $ 3.000 mensuales y costeaba algunos servicios.  Dicen que se tenga en cuenta la expectativa de vida de los actores y el importe destinado por el hijo muerto  piden $ 600.000.-</w:t>
      </w:r>
    </w:p>
    <w:p>
      <w:pPr>
        <w:pStyle w:val="[Normal]"/>
        <w:spacing w:line="360" w:lineRule="auto"/>
        <w:ind w:firstLine="1134"/>
        <w:jc w:val="both"/>
        <w:rPr>
          <w:lang w:val="es-AR" w:eastAsia="es-AR" w:bidi="es-AR"/>
        </w:rPr>
      </w:pPr>
      <w:r>
        <w:rPr>
          <w:lang w:val="es-AR" w:eastAsia="es-AR" w:bidi="es-AR"/>
        </w:rPr>
        <w:t xml:space="preserve">En relación a este punto, será de recibo la pérdida de chance invocada y no el daño material en cuando supondría una doble indemnización por el mismo aspecto: esto es retribuir aquellas ganancias esperables por la muerte de un hijo que colaboraba con sus padres.-</w:t>
      </w:r>
    </w:p>
    <w:p>
      <w:pPr>
        <w:pStyle w:val="[Normal]"/>
        <w:spacing w:line="360" w:lineRule="auto"/>
        <w:ind w:firstLine="1134"/>
        <w:jc w:val="both"/>
        <w:rPr>
          <w:lang w:val="es-AR" w:eastAsia="es-AR" w:bidi="es-AR"/>
        </w:rPr>
      </w:pPr>
      <w:r>
        <w:rPr>
          <w:lang w:val="es-AR" w:eastAsia="es-AR" w:bidi="es-AR"/>
        </w:rPr>
        <w:t xml:space="preserve">De la documental de fs. 170/173 surge que era chófer de primera, informado por el sindicato de chóferes de camiones agregado a fs. 172, con la escala salarial inherente al convenio colectivo de trabajo en la planilla Nro. 183 vigente entre el 1/11/2015 y el 29/02/2016.  A su vez, lo expuesto aparece refrendado por la declaración testimonial del Sr. Juan Pablo Maldonado (en DVD adjunto a fs. 187) quien da cuenta de que la víctima se desempeñaba en un condiciones laborales semejantes a la suya y que por ende tendría un ingreso que oscilaba por encima de los $ 20.000.- </w:t>
      </w:r>
    </w:p>
    <w:p>
      <w:pPr>
        <w:pStyle w:val="[Normal]"/>
        <w:spacing w:line="360" w:lineRule="auto"/>
        <w:ind w:firstLine="1134"/>
        <w:jc w:val="both"/>
        <w:rPr>
          <w:color w:val="000000"/>
          <w:lang w:val="es-AR" w:eastAsia="es-AR" w:bidi="es-AR"/>
        </w:rPr>
      </w:pPr>
      <w:r>
        <w:rPr>
          <w:color w:val="000000"/>
          <w:lang w:val="es-AR" w:eastAsia="es-AR" w:bidi="es-AR"/>
        </w:rPr>
        <w:t xml:space="preserve">Determinada la pauta salarial sobre la que se fundará la cuantificación del rubro en análisis, es menester puntualizar que este daño es pretendido por ambos progenitores, aduciendo diversas circunstancias que convergen básicamente en la colaboración que ya no podrán percibir de su hijo como consecuencia del fallecimiento de autos.-</w:t>
      </w:r>
    </w:p>
    <w:p>
      <w:pPr>
        <w:pStyle w:val="[Normal]"/>
        <w:spacing w:line="360" w:lineRule="auto"/>
        <w:ind w:firstLine="1134"/>
        <w:jc w:val="both"/>
        <w:rPr>
          <w:color w:val="000000"/>
          <w:lang w:val="es-AR" w:eastAsia="es-AR" w:bidi="es-AR"/>
        </w:rPr>
      </w:pPr>
      <w:r>
        <w:rPr>
          <w:color w:val="000000"/>
          <w:lang w:val="es-AR" w:eastAsia="es-AR" w:bidi="es-AR"/>
        </w:rPr>
        <w:t xml:space="preserve">Cabe precisar que en este rubro ciertamente lo que se indemniza es la pérdida o frustración de una probabilidad.  Coexisten dos elementos: certeza e incertidumbre.  La certeza de que si no hubiera acontecido el incumplimiento o el hecho dañoso la persona damnificada "habría mantenido la esperanza en el futuro que le hubiera permitido obtener una ganancia o evitar una pérdida patrimonial" e incertidumbre de que "manteniéndose la situación de hecho o de Derecho que era el presupuesto de la ´chance´, la ganancia se habría en realidad obtenido, o la pérdida se habría evitado (TANZI, Silvia, Rubros de la cuenta indemnizatoria de los daños a la persona, Buenos Aires, Ed. Hammurabi, 2005, pág. 309).-</w:t>
      </w:r>
    </w:p>
    <w:p>
      <w:pPr>
        <w:pStyle w:val="[Normal]"/>
        <w:spacing w:line="360" w:lineRule="auto"/>
        <w:ind w:firstLine="1134"/>
        <w:jc w:val="both"/>
        <w:rPr>
          <w:color w:val="000000"/>
          <w:lang w:val="es-AR" w:eastAsia="es-AR" w:bidi="es-AR"/>
        </w:rPr>
      </w:pPr>
      <w:r>
        <w:rPr>
          <w:color w:val="000000"/>
          <w:lang w:val="es-AR" w:eastAsia="es-AR" w:bidi="es-AR"/>
        </w:rPr>
        <w:t xml:space="preserve">El epicentro de la cuestión radica en la certidumbre de la probabilidad.  En virtud de ello, para que el daño resulte resarcible debe tratarse de una probabilidad con entidad suficiente que se quiebra con el hecho dañoso.  Al decir de Orgaz, el abanico varía ya que se desplaza desde la mera posibilidad (probabilidad general y vaga) que no es indemnizable porque estamos ante un daño hipotético, hacia la probabilidad cierta que admite reparación (ORGAZ, Alfredo, El daño resarcible, Córdoba, Ed. Lerner, 1980, pág. 96 y ss.).-</w:t>
      </w:r>
    </w:p>
    <w:p>
      <w:pPr>
        <w:pStyle w:val="[Normal]"/>
        <w:spacing w:line="360" w:lineRule="auto"/>
        <w:ind w:firstLine="1134"/>
        <w:jc w:val="both"/>
        <w:rPr>
          <w:color w:val="000000"/>
          <w:lang w:val="es-AR" w:eastAsia="es-AR" w:bidi="es-AR"/>
        </w:rPr>
      </w:pPr>
      <w:r>
        <w:rPr>
          <w:color w:val="000000"/>
          <w:lang w:val="es-AR" w:eastAsia="es-AR" w:bidi="es-AR"/>
        </w:rPr>
        <w:t xml:space="preserve">Estas probabilidades no son fijas, pueden variar y dependen de las circunstancias particulares que surgen del caso concreto.-</w:t>
      </w:r>
    </w:p>
    <w:p>
      <w:pPr>
        <w:pStyle w:val="[Normal]"/>
        <w:spacing w:line="360" w:lineRule="auto"/>
        <w:ind w:firstLine="1134"/>
        <w:jc w:val="both"/>
        <w:rPr>
          <w:color w:val="000000"/>
          <w:lang w:val="es-AR" w:eastAsia="es-AR" w:bidi="es-AR"/>
        </w:rPr>
      </w:pPr>
      <w:r>
        <w:rPr>
          <w:color w:val="000000"/>
          <w:lang w:val="es-AR" w:eastAsia="es-AR" w:bidi="es-AR"/>
        </w:rPr>
        <w:t xml:space="preserve">En el supuesto específico de pérdida de chance por la muerte de un hijo, la mayoría de la doctrina y jurisprudencia consideran que ello le hace perder a los padres una chance de contenido económico representada por la expectativa de sostén, apoyo y colaboración en la ancianidad y ante los problemas que la vida puede presentar.-</w:t>
      </w:r>
    </w:p>
    <w:p>
      <w:pPr>
        <w:pStyle w:val="[Normal]"/>
        <w:spacing w:line="360" w:lineRule="auto"/>
        <w:ind w:firstLine="1134"/>
        <w:jc w:val="both"/>
        <w:rPr>
          <w:color w:val="000000"/>
          <w:lang w:val="es-AR" w:eastAsia="es-AR" w:bidi="es-AR"/>
        </w:rPr>
      </w:pPr>
      <w:r>
        <w:rPr>
          <w:color w:val="000000"/>
          <w:lang w:val="es-AR" w:eastAsia="es-AR" w:bidi="es-AR"/>
        </w:rPr>
        <w:t xml:space="preserve">Se llega a esta solución positiva aun cuando siempre medien factores aleatorios (los cuales incidirán en la amplitud de la chance) en cuya virtud es posible que la ayuda nunca se preste o se preste en menor cuantía.  Así pues, el daño por privación de una vida debe mirar hacia el pasado, lo que esa vida ya representaba y podía dar de sí, al momento del hecho, pero igualmente hacia el futuro, pues al detenerse el avance existencial se han detenido sus realizaciones expectables; con la muerte no sólo se mutila la vida, y lo que en ese momento y de modo inmediato eran sus frutos concretos, sino además todo un curso de expectativas (Cf. Zavala de González, Matilde, Tratado de daños a las personas Perjuicios económicos por muerte, Tomo II, Buenos Aires, Ed. Astrea, 2008, pág. 52).-</w:t>
      </w:r>
    </w:p>
    <w:p>
      <w:pPr>
        <w:pStyle w:val="[Normal]"/>
        <w:spacing w:line="360" w:lineRule="auto"/>
        <w:ind w:firstLine="1134"/>
        <w:jc w:val="both"/>
        <w:rPr>
          <w:color w:val="000000"/>
          <w:lang w:val="es-AR" w:eastAsia="es-AR" w:bidi="es-AR"/>
        </w:rPr>
      </w:pPr>
      <w:r>
        <w:rPr>
          <w:color w:val="000000"/>
          <w:lang w:val="es-AR" w:eastAsia="es-AR" w:bidi="es-AR"/>
        </w:rPr>
        <w:t xml:space="preserve">En tal sentido, la Cámara Civil y Comercial de Lomas de Zamora ha dicho que: </w:t>
      </w:r>
      <w:r>
        <w:rPr>
          <w:i/>
          <w:color w:val="000000"/>
          <w:lang w:val="es-AR" w:eastAsia="es-AR" w:bidi="es-AR"/>
        </w:rPr>
        <w:t xml:space="preserve">"La indemnización por fallecimiento de un hijo comprende la pérdida de chance, entendida ésta como frustración de la legítima esperanza de asistencia y sostén que en la vejez o enfermedad es dable esperar a los padres"</w:t>
      </w:r>
      <w:r>
        <w:rPr>
          <w:color w:val="000000"/>
          <w:lang w:val="es-AR" w:eastAsia="es-AR" w:bidi="es-AR"/>
        </w:rPr>
        <w:t xml:space="preserve"> (Cámara de Apelaciones en lo Civil y Comercial de Lomas de Zamora, Sala II, 19/11/99, LLBA, 2000-315).-</w:t>
      </w:r>
    </w:p>
    <w:p>
      <w:pPr>
        <w:pStyle w:val="[Normal]"/>
        <w:spacing w:line="360" w:lineRule="auto"/>
        <w:ind w:firstLine="1134"/>
        <w:jc w:val="both"/>
        <w:rPr>
          <w:color w:val="000000"/>
          <w:lang w:val="es-AR" w:eastAsia="es-AR" w:bidi="es-AR"/>
        </w:rPr>
      </w:pPr>
      <w:r>
        <w:rPr>
          <w:color w:val="000000"/>
          <w:lang w:val="es-AR" w:eastAsia="es-AR" w:bidi="es-AR"/>
        </w:rPr>
        <w:t xml:space="preserve">He de puntualizar entonces que a partir de la valoración contextual de la prueba producida en autos he de tener por cierto que la víctima se desempeñaba como camionero según escala salarial correspondiente a convenio colectivo, que potencialmente se encontraba en condiciones de ayudar económicamente a sus progenitores con una suma de dinero, que resulta presumible que lo hacía en función de la situación objetiva de la convivencia (circunstancia que también se halla avalada por la </w:t>
      </w:r>
      <w:r>
        <w:rPr>
          <w:lang w:val="es-AR" w:eastAsia="es-AR" w:bidi="es-AR"/>
        </w:rPr>
        <w:t xml:space="preserve">declaración testimonial del Sr. Juan Pablo Maldonado y José Darío García)</w:t>
      </w:r>
      <w:r>
        <w:rPr>
          <w:color w:val="000000"/>
          <w:lang w:val="es-AR" w:eastAsia="es-AR" w:bidi="es-AR"/>
        </w:rPr>
        <w:t xml:space="preserve">, que la madre y el padre tenían la expectativa de obtener igual ayuda durante los últimos años probables de su vida, que las perspectivas económicas futura eran estables sin que se hallen acreditadas proyecciones o probabilidades de un crecimiento significativo.-</w:t>
      </w:r>
    </w:p>
    <w:p>
      <w:pPr>
        <w:pStyle w:val="[Normal]"/>
        <w:spacing w:line="360" w:lineRule="auto"/>
        <w:ind w:firstLine="1134"/>
        <w:jc w:val="both"/>
        <w:rPr>
          <w:color w:val="000000"/>
          <w:lang w:val="es-AR" w:eastAsia="es-AR" w:bidi="es-AR"/>
        </w:rPr>
      </w:pPr>
      <w:r>
        <w:rPr>
          <w:color w:val="000000"/>
          <w:lang w:val="es-AR" w:eastAsia="es-AR" w:bidi="es-AR"/>
        </w:rPr>
        <w:t xml:space="preserve">En función de las circunstancias expuestas, considero prudente establecer una indemnización cifrada en la suma de $ 600.000 para cada uno de los progenitores en concepto de daño material con más los intereses a la tasa pasiva más alta que paga el Banco Provincia de Buenos Aires para sus depósitos a 30 días desde la fecha del hecho (16 de febrero de 2016) hasta su efectivo pago.-</w:t>
      </w:r>
    </w:p>
    <w:p>
      <w:pPr>
        <w:pStyle w:val="[Normal]"/>
        <w:spacing w:line="360" w:lineRule="auto"/>
        <w:ind w:firstLine="1134"/>
        <w:jc w:val="both"/>
        <w:rPr>
          <w:color w:val="000000"/>
          <w:lang w:val="es-AR" w:eastAsia="es-AR" w:bidi="es-AR"/>
        </w:rPr>
      </w:pPr>
      <w:r>
        <w:rPr>
          <w:color w:val="000000"/>
          <w:lang w:val="es-AR" w:eastAsia="es-AR" w:bidi="es-AR"/>
        </w:rPr>
        <w:t xml:space="preserve">b</w:t>
      </w:r>
      <w:r>
        <w:rPr>
          <w:lang w:val="es-AR" w:eastAsia="es-AR" w:bidi="es-AR"/>
        </w:rPr>
        <w:t xml:space="preserve">) Daño moral: con relación al daño moral es incuestionable la lesión de las legítimas afecciones de estos progenitores que deriva de la muerte abrupta de su hija a raíz del siniestro, legitimados en la calidad de herederos forzosos (art. 1078 Cód. Civil) que revisten los ascendientes (arts. 3594 y 3567 del Cod. Civil). Siendo además un daño re ipsa y sin otro aditamento, a partir de la desaparición trágica de la hija.  No hay un parámetro que pueda mensurar el padecimiento de los padres frente a la muerte de un hijo, resumido en forma clara por Matilde Zavala de González en "Resarcimiento de Daños" cuando expresa que "Salvo excepciones que ingresan dentro de lo patológico, la naturaleza crea un entrañable nexo biológico y espiritual entre padres e hijos.  También es conforme con la naturaleza que éstos se encuentren destinados a sobrevivir a sus progenitores y, por tanto de acompañarlos moral y materialmente hasta el fin de quienes los trajeron al mundo.  Depositarios de incontables afanes y desvelos, los hijos constituyen una proyección espiritual de los padres, el centro de los más hondos afectos y lo mejor que uno puede dejar en la tierra" Cfr. obra citada pág. 275.  En el comentario de Kemelmajer de Carlucci en Código Civil Anotado se afirma que no existe dolor comparable al producido por la muerte de un hijo.  Y este sufrimiento espiritual tan extremo como ningún otro debe ser indemnizado, sin que tenga relación comparativa con otro importe de indemnización, por lo que estimo que en este caso el importe de daño moral ha de traducirse en el importe de PESOS UN MILLON ($ 1.000.000) para cada uno de los progenitores con más intereses a tasa pura del 6% desde la fecha del hecho </w:t>
      </w:r>
      <w:r>
        <w:rPr>
          <w:color w:val="000000"/>
          <w:lang w:val="es-AR" w:eastAsia="es-AR" w:bidi="es-AR"/>
        </w:rPr>
        <w:t xml:space="preserve">(16 de febrero de 2016)</w:t>
      </w:r>
      <w:r>
        <w:rPr>
          <w:lang w:val="es-AR" w:eastAsia="es-AR" w:bidi="es-AR"/>
        </w:rPr>
        <w:t xml:space="preserve"> hasta la fecha de la presente sentencia. Y de allí en adelante, corresponderá aplicar la tasa pasiva más alta </w:t>
      </w:r>
      <w:r>
        <w:rPr>
          <w:color w:val="000000"/>
          <w:lang w:val="es-AR" w:eastAsia="es-AR" w:bidi="es-AR"/>
        </w:rPr>
        <w:t xml:space="preserve">que paga el Banco Provincia de Buenos Aires para sus depósitos a 30 días.-</w:t>
      </w:r>
    </w:p>
    <w:p>
      <w:pPr>
        <w:pStyle w:val="[Normal]"/>
        <w:spacing w:line="360" w:lineRule="auto"/>
        <w:ind w:firstLine="1134"/>
        <w:jc w:val="both"/>
        <w:rPr>
          <w:lang w:val="es-AR" w:eastAsia="es-AR" w:bidi="es-AR"/>
        </w:rPr>
      </w:pPr>
      <w:r>
        <w:rPr>
          <w:lang w:val="es-AR" w:eastAsia="es-AR" w:bidi="es-AR"/>
        </w:rPr>
        <w:t xml:space="preserve">c) Daño psicológico: De los dictámenes periciales de fecha 23/10/2018 y 18/3/2019 no surge que los progenitores de autos hayan padecido secuelas o patologías psíquicas derivadas del accidente, sin perjuicio de la afección emocional que el accidente ocasionó a la víctima de autos.-</w:t>
      </w:r>
    </w:p>
    <w:p>
      <w:pPr>
        <w:pStyle w:val="[Normal]"/>
        <w:spacing w:line="360" w:lineRule="auto"/>
        <w:ind w:firstLine="1134"/>
        <w:jc w:val="both"/>
        <w:rPr>
          <w:color w:val="000000"/>
          <w:lang w:val="es-AR" w:eastAsia="es-AR" w:bidi="es-AR"/>
        </w:rPr>
      </w:pPr>
      <w:r>
        <w:rPr>
          <w:color w:val="000000"/>
          <w:lang w:val="es-AR" w:eastAsia="es-AR" w:bidi="es-AR"/>
        </w:rPr>
        <w:t xml:space="preserve">Definido el mismo por la jurisprudencia de nuestros tribunales como </w:t>
      </w:r>
      <w:r>
        <w:rPr>
          <w:i/>
          <w:color w:val="000000"/>
          <w:lang w:val="es-AR" w:eastAsia="es-AR" w:bidi="es-AR"/>
        </w:rPr>
        <w:t xml:space="preserve">"una perturbación patológica de la personalidad que altera su equilibrio básico o agrava algún desequilibrio precedente"</w:t>
      </w:r>
      <w:r>
        <w:rPr>
          <w:color w:val="000000"/>
          <w:lang w:val="es-AR" w:eastAsia="es-AR" w:bidi="es-AR"/>
        </w:rPr>
        <w:t xml:space="preserve"> y que </w:t>
      </w:r>
      <w:r>
        <w:rPr>
          <w:i/>
          <w:color w:val="000000"/>
          <w:lang w:val="es-AR" w:eastAsia="es-AR" w:bidi="es-AR"/>
        </w:rPr>
        <w:t xml:space="preserve">"se configura mediante la alteración de la personalidad, es decir, la perturbación profunda del equilibrio emocional de los reclamantes, que guarda además adecuado nexo causal con el hecho dañoso y que atañe a una significativa descompensación que perturba su integración al medio social"</w:t>
      </w:r>
      <w:r>
        <w:rPr>
          <w:color w:val="000000"/>
          <w:lang w:val="es-AR" w:eastAsia="es-AR" w:bidi="es-AR"/>
        </w:rPr>
        <w:t xml:space="preserve"> (Cfr Silvia Tanzi "Rubros de la  cuenta indemnizatoria del daño a las personas" Editorial Hammurabi, pág. 256).-</w:t>
      </w:r>
    </w:p>
    <w:p>
      <w:pPr>
        <w:pStyle w:val="[Normal]"/>
        <w:spacing w:line="360" w:lineRule="auto"/>
        <w:ind w:firstLine="1134"/>
        <w:jc w:val="both"/>
        <w:rPr>
          <w:color w:val="000000"/>
          <w:lang w:val="es-AR" w:eastAsia="es-AR" w:bidi="es-AR"/>
        </w:rPr>
      </w:pPr>
      <w:r>
        <w:rPr>
          <w:color w:val="000000"/>
          <w:lang w:val="es-AR" w:eastAsia="es-AR" w:bidi="es-AR"/>
        </w:rPr>
        <w:t xml:space="preserve">Ello no debe confundirse sin duda alguna, como lo puntualiza la parte demandada en su queja, con el daño moral, ya que diversas son las diferentes consideraciones para la procedencia de cada uno de ellos, siendo en el daño moral el bien jurídico protegido la espiritualidad y en el daño  psicológico, la personalidad.  El daño moral no tiene origen patológico, el psicológico, sí, en el daño moral se encuentra ausente el concepto de incapacidad, en el psicológico debe probarse.-</w:t>
      </w:r>
    </w:p>
    <w:p>
      <w:pPr>
        <w:pStyle w:val="[Normal]"/>
        <w:spacing w:line="360" w:lineRule="auto"/>
        <w:ind w:firstLine="1134"/>
        <w:jc w:val="both"/>
        <w:rPr>
          <w:color w:val="000000"/>
          <w:lang w:val="es-AR" w:eastAsia="es-AR" w:bidi="es-AR"/>
        </w:rPr>
      </w:pPr>
      <w:r>
        <w:rPr>
          <w:color w:val="000000"/>
          <w:lang w:val="es-AR" w:eastAsia="es-AR" w:bidi="es-AR"/>
        </w:rPr>
        <w:t xml:space="preserve">En cuanto a la independencia conceptual y jurídica del daño psicológico en relación al daño moral, la jurisprudencia de los tribunales bonaerenses ha entendido que </w:t>
      </w:r>
      <w:r>
        <w:rPr>
          <w:i/>
          <w:color w:val="000000"/>
          <w:lang w:val="es-AR" w:eastAsia="es-AR" w:bidi="es-AR"/>
        </w:rPr>
        <w:t xml:space="preserve">"la afección psíquica supone una perturbación patológica de la personalidad de la víctima que altera el equilibrio básico, mientras que el daño moral, implica existencia de una lesión de sentimientos o de la tranquilidad anímica, configurándose órbitas conceptualmente autónomas a los fines resarcitorios"</w:t>
      </w:r>
      <w:r>
        <w:rPr>
          <w:color w:val="000000"/>
          <w:lang w:val="es-AR" w:eastAsia="es-AR" w:bidi="es-AR"/>
        </w:rPr>
        <w:t xml:space="preserve"> (CC0002 LZ 16452 RSD-262B-97 S 30-9-1997, "González de Velásquez M. E. c. Pallet Héctor s/daños y perjuicios", JUBA Civil y Com. B2600130).-</w:t>
      </w:r>
    </w:p>
    <w:p>
      <w:pPr>
        <w:pStyle w:val="[Normal]"/>
        <w:spacing w:line="360" w:lineRule="auto"/>
        <w:ind w:firstLine="1134"/>
        <w:jc w:val="both"/>
        <w:rPr>
          <w:color w:val="000000"/>
          <w:lang w:val="es-AR" w:eastAsia="es-AR" w:bidi="es-AR"/>
        </w:rPr>
      </w:pPr>
      <w:r>
        <w:rPr>
          <w:color w:val="000000"/>
          <w:lang w:val="es-AR" w:eastAsia="es-AR" w:bidi="es-AR"/>
        </w:rPr>
        <w:t xml:space="preserve">En respaldo de esta tesis, el Máximo Tribunal Bonaerense ha encauzado la tutela resarcitoria de la integridad psíquica dentro del bloque de convencionalidad: </w:t>
      </w:r>
      <w:r>
        <w:rPr>
          <w:i/>
          <w:color w:val="000000"/>
          <w:lang w:val="es-AR" w:eastAsia="es-AR" w:bidi="es-AR"/>
        </w:rPr>
        <w:t xml:space="preserve">"El principio alterum non laedere tiene sustento constitucional y paralelamente es consagrado por los Tratados Internacionales.  Por la vía de lo dispuesto en el inc. 22 del art. 75 de la Constitución nacional, con fuerza y jerarquía superior a las leyes, el art. 21 punto 2 de la Convención Americana sobre Derechos Humanos estatuye: "ninguna persona puede ser privada de sus bienes, excepto mediante el pago de indemnización justa", y el art. 5 del mismo cuerpo supralegal ampara el derecho a la integridad psíquica y moral" (</w:t>
      </w:r>
      <w:r>
        <w:rPr>
          <w:color w:val="000000"/>
          <w:lang w:val="es-AR" w:eastAsia="es-AR" w:bidi="es-AR"/>
        </w:rPr>
        <w:t xml:space="preserve">SCBA, "M. ,E. N. y o. c/M. d. T. L. s/Daños y perjuicios", 30/09/2009 ,  C 97144 S).-</w:t>
      </w:r>
    </w:p>
    <w:p>
      <w:pPr>
        <w:pStyle w:val="[Normal]"/>
        <w:spacing w:line="360" w:lineRule="auto"/>
        <w:ind w:firstLine="1134"/>
        <w:jc w:val="both"/>
        <w:rPr>
          <w:color w:val="000000"/>
          <w:lang w:val="es-AR" w:eastAsia="es-AR" w:bidi="es-AR"/>
        </w:rPr>
      </w:pPr>
      <w:r>
        <w:rPr>
          <w:color w:val="000000"/>
          <w:lang w:val="es-AR" w:eastAsia="es-AR" w:bidi="es-AR"/>
        </w:rPr>
        <w:t xml:space="preserve">Asimismo, como pauta diferenciadora, se ha especificado que: </w:t>
      </w:r>
      <w:r>
        <w:rPr>
          <w:i/>
          <w:color w:val="000000"/>
          <w:lang w:val="es-AR" w:eastAsia="es-AR" w:bidi="es-AR"/>
        </w:rPr>
        <w:t xml:space="preserve">"el daño psicológico resarce y compensa el dolor que excede aquel que de ordinario se origina a raíz de un hecho traumático -como lo es un accidente con consecuencias de incapacidad-, en razón de sentimientos comunes y elementales derivados de él. Para su determinación, de existir una patología básica, debe descartarse aquella sintomatología que no está conectada con la situación traumática vivida"</w:t>
      </w:r>
      <w:r>
        <w:rPr>
          <w:color w:val="000000"/>
          <w:lang w:val="es-AR" w:eastAsia="es-AR" w:bidi="es-AR"/>
        </w:rPr>
        <w:t xml:space="preserve"> (CC0100 SN 2785 RSD-16-1 S 22-2-2001, "Damonte Alberto Andrés c. San Juan Alberto y otros s/daños y perjuicios", JUBA Civil y Com. B856115. De igual modo se puede consultar: Cám. Apel. Civil y Com. Octava Nominación de Córdoba, 07/06/2001, Sent., "Navarro Carlos Desiderio c. Raúl Alberto Lobotrico y otro - Ordinario"; Cám. de Apelación Primera Civ. y Com. de Santiago del Estero, 11/09/2007, "P. R. P. c. D. F. A. s/filiación extramatrimonial - Benef. de litigar sin gastos").-</w:t>
      </w:r>
    </w:p>
    <w:p>
      <w:pPr>
        <w:pStyle w:val="[Normal]"/>
        <w:spacing w:line="360" w:lineRule="auto"/>
        <w:ind w:firstLine="1134"/>
        <w:jc w:val="both"/>
        <w:rPr>
          <w:color w:val="000000"/>
          <w:lang w:val="es-AR" w:eastAsia="es-AR" w:bidi="es-AR"/>
        </w:rPr>
      </w:pPr>
      <w:r>
        <w:rPr>
          <w:color w:val="000000"/>
          <w:lang w:val="es-AR" w:eastAsia="es-AR" w:bidi="es-AR"/>
        </w:rPr>
        <w:t xml:space="preserve">La consecuencia probatoria de esta autonomía relativa del rubro en tratamiento radica en que para que el </w:t>
      </w:r>
      <w:r>
        <w:rPr>
          <w:i/>
          <w:color w:val="000000"/>
          <w:lang w:val="es-AR" w:eastAsia="es-AR" w:bidi="es-AR"/>
        </w:rPr>
        <w:t xml:space="preserve">"daño psíquico"</w:t>
      </w:r>
      <w:r>
        <w:rPr>
          <w:color w:val="000000"/>
          <w:lang w:val="es-AR" w:eastAsia="es-AR" w:bidi="es-AR"/>
        </w:rPr>
        <w:t xml:space="preserve"> aparezca con entidad suficiente como para ser considerado rubro indemnizatorio independiente (del daño moral p. ej.) debe comportar una alteración de la personalidad de la víctima, es decir, que consista en una perturbación profunda del equilibrio emocional, que guarde adecuado nexo causal con el hecho dañoso y entrañe una significativa descompensación que perturbe su integración al medio social (CC0101 LP 236546 RSD-33-1 S 27-3-2001, "Fernández, Rodolfo c. Acosta, Lorenzo Mario s/daños y perjuicios", JUBA Civil y Com. B101467; CC0101 LP 215890 RSD-4-94 S 1-2-1994, "Torres, Ramón y ot. c. González, Guillermo Fabián s/Daños y perjuicios", JUBA Civil y Com. B100362; 236546 RSD-33-1 S 27-3-2001, "Fernández, Rodolfo c. Acosta, Lorenzo Mario s/Daños y perjuicios", JUBA Civil y Com. B101467).-</w:t>
      </w:r>
    </w:p>
    <w:p>
      <w:pPr>
        <w:pStyle w:val="[Normal]"/>
        <w:spacing w:line="360" w:lineRule="auto"/>
        <w:ind w:firstLine="1134"/>
        <w:jc w:val="both"/>
        <w:rPr>
          <w:lang w:val="es-AR" w:eastAsia="es-AR" w:bidi="es-AR"/>
        </w:rPr>
      </w:pPr>
      <w:r>
        <w:rPr>
          <w:lang w:val="es-AR" w:eastAsia="es-AR" w:bidi="es-AR"/>
        </w:rPr>
        <w:t xml:space="preserve">En virtud de lo expuesto, y conforme a las constancias acreditadas en el expediente con especial énfasis en el informe acompañado por la perito oficial, considero que no hay razón para tener por verificado el rubro peticionado, por lo que no cabe otorgar suma alguna en virtud de este concepto.-</w:t>
      </w:r>
    </w:p>
    <w:p>
      <w:pPr>
        <w:pStyle w:val="[Normal]"/>
        <w:spacing w:line="360" w:lineRule="auto"/>
        <w:ind w:firstLine="1134"/>
        <w:jc w:val="both"/>
        <w:rPr>
          <w:lang w:val="es-AR" w:eastAsia="es-AR" w:bidi="es-AR"/>
        </w:rPr>
      </w:pPr>
      <w:r>
        <w:rPr>
          <w:lang w:val="es-AR" w:eastAsia="es-AR" w:bidi="es-AR"/>
        </w:rPr>
        <w:t xml:space="preserve">d) Tratamiento psicológico: en relación a este aspecto, habré de aplicar una tesitura más flexible.</w:t>
      </w:r>
    </w:p>
    <w:p>
      <w:pPr>
        <w:pStyle w:val="[Normal]"/>
        <w:spacing w:line="360" w:lineRule="auto"/>
        <w:ind w:firstLine="1134"/>
        <w:jc w:val="both"/>
        <w:rPr>
          <w:lang w:val="es-AR" w:eastAsia="es-AR" w:bidi="es-AR"/>
        </w:rPr>
      </w:pPr>
      <w:r>
        <w:rPr>
          <w:lang w:val="es-AR" w:eastAsia="es-AR" w:bidi="es-AR"/>
        </w:rPr>
        <w:t xml:space="preserve">Si bien no se halla fehacientemente acreditado en la causa que los progenitores de la víctima de autos hayan concurrido a tratamiento psicológico por la totalidad del período señalado, entiendo que la terapia en cuestión aparece como una erogación razonable en función del carácter objetivamente traumático del evento principal de autos (art. 1746 del CCyC).-</w:t>
      </w:r>
    </w:p>
    <w:p>
      <w:pPr>
        <w:pStyle w:val="[Normal]"/>
        <w:spacing w:line="360" w:lineRule="auto"/>
        <w:ind w:firstLine="1134"/>
        <w:jc w:val="both"/>
        <w:rPr>
          <w:color w:val="000000"/>
          <w:lang w:val="es-AR" w:eastAsia="es-AR" w:bidi="es-AR"/>
        </w:rPr>
      </w:pPr>
      <w:r>
        <w:rPr>
          <w:color w:val="000000"/>
          <w:lang w:val="es-AR" w:eastAsia="es-AR" w:bidi="es-AR"/>
        </w:rPr>
        <w:t xml:space="preserve">Ya se ha dicho desde aquí que los gastos de curación son indemnizables aún en defecto de prueba directa del desembolso, pues su necesidad es un hecho público y notorio que no se puede soslayar, pudiendo el operador, tal como lo hizo fijar un importe teniendo en cuenta la entidad y naturaleza de las lesiones cuando su resarcimiento se encuadre dentro de lo prudente, cuando ello exceda el concepto debería allí aportarse toda la prueba necesaria que justifique mayores erogaciones (Cámara de Apelaciones en lo Civil y Comercial de Pergamino, causa n° 2124, resolución de fecha 21 de Abril de 2021).-</w:t>
      </w:r>
    </w:p>
    <w:p>
      <w:pPr>
        <w:pStyle w:val="[Normal]"/>
        <w:spacing w:line="360" w:lineRule="auto"/>
        <w:ind w:firstLine="1134"/>
        <w:jc w:val="both"/>
        <w:rPr>
          <w:color w:val="000000"/>
          <w:lang w:val="es-AR" w:eastAsia="es-AR" w:bidi="es-AR"/>
        </w:rPr>
      </w:pPr>
      <w:r>
        <w:rPr>
          <w:lang w:val="es-AR" w:eastAsia="es-AR" w:bidi="es-AR"/>
        </w:rPr>
        <w:t xml:space="preserve">Ahora bien, a falta de prueba fehaciente sobre la duración del tratamiento he de aplicarse aquí una hermenéutica prudente en punto a determinar la extensión del rubro solicitado.  </w:t>
      </w:r>
      <w:r>
        <w:rPr>
          <w:color w:val="000000"/>
          <w:lang w:val="es-AR" w:eastAsia="es-AR" w:bidi="es-AR"/>
        </w:rPr>
        <w:t xml:space="preserve">En el sentido aludido, la Cámara de Apelaciones en lo Civil y Comercial de La Plata ha resuelto que: </w:t>
      </w:r>
      <w:r>
        <w:rPr>
          <w:i/>
          <w:color w:val="000000"/>
          <w:lang w:val="es-AR" w:eastAsia="es-AR" w:bidi="es-AR"/>
        </w:rPr>
        <w:t xml:space="preserve">"Conforme el último párrafo del art. 165 del C.P.C.C., probado el daño, a falta de pautas concretas de las constancias de autos, el monto de la indemnización ha sido diferido por la ley al prudente criterio del juez y éste ha de remitirse a las máximas de la experiencia. Cuadra así subrayar que la insuficiencia de la prueba aportada para demostrar la cuantía del daño, no conduce a descartar la existencia del mismo, ya que se trata de dos aspectos que es menester diferenciar. Una cosa es la demostración de la existencia del daño , y otra distinta, es la referente a la determinación del monto del mismo -pérdida experimentada-.  Acreditado el primer extremo, el órgano jurisdiccional tiene que proceder a fijarlo, aunque no se haya justificado fehacientemente el "quantum" del daño. Precisamente, en esos casos, surge la potestad que confiere a los jueces el art. 165 del ordenamiento adjetivo, en punto a la fijación del mismo para lo cual debe valerse de lo que indican las máximas de la experiencia universal. Ahora bien, dicha potestad debe ser utilizada con suma prudencia, a fin de no generar un enriquecimiento sin causa ni suplir la carga probatoria que pesa sobre las partes"</w:t>
      </w:r>
      <w:r>
        <w:rPr>
          <w:color w:val="000000"/>
          <w:lang w:val="es-AR" w:eastAsia="es-AR" w:bidi="es-AR"/>
        </w:rPr>
        <w:t xml:space="preserve"> (Cámara de Apelaciones en lo Civil y Comercial de La Plata, "GAMBAROTTA LUCAS C/ PEZ GERARDO ADRIAN S/DAÑOS Y PERJ. AUTOM. C/LES. O MUERTE (EXC. ESTADO) ", 02/02/2016, CC0201 LP 119135 RSD 01/16).-</w:t>
      </w:r>
    </w:p>
    <w:p>
      <w:pPr>
        <w:pStyle w:val="[Normal]"/>
        <w:spacing w:line="360" w:lineRule="auto"/>
        <w:ind w:firstLine="1134"/>
        <w:jc w:val="both"/>
        <w:rPr>
          <w:lang w:val="es-AR" w:eastAsia="es-AR" w:bidi="es-AR"/>
        </w:rPr>
      </w:pPr>
      <w:r>
        <w:rPr>
          <w:lang w:val="es-AR" w:eastAsia="es-AR" w:bidi="es-AR"/>
        </w:rPr>
        <w:t xml:space="preserve">En virtud de ello, he de proponer que la reparación del concepto indicado en este punto se ciña a la suma de $ 100.000 para cada uno de los progenitores con más intereses a la tasa pasiva más alta que paga el Banco Provincia de Buenos Aires para sus depósitos a 30 días, desde la fecha del hecho </w:t>
      </w:r>
      <w:r>
        <w:rPr>
          <w:color w:val="000000"/>
          <w:lang w:val="es-AR" w:eastAsia="es-AR" w:bidi="es-AR"/>
        </w:rPr>
        <w:t xml:space="preserve">(16 de febrero de 2016) hasta el efectivo pago.-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Respecto a los daños reclamados por la actora Transporte None S.A. corresponde diferenciar los siguientes conceptos.-</w:t>
      </w:r>
    </w:p>
    <w:p>
      <w:pPr>
        <w:pStyle w:val="[Normal]"/>
        <w:spacing w:line="360" w:lineRule="auto"/>
        <w:ind w:firstLine="1134"/>
        <w:jc w:val="both"/>
        <w:rPr>
          <w:lang w:val="es-AR" w:eastAsia="es-AR" w:bidi="es-AR"/>
        </w:rPr>
      </w:pPr>
      <w:r>
        <w:rPr>
          <w:lang w:val="es-AR" w:eastAsia="es-AR" w:bidi="es-AR"/>
        </w:rPr>
        <w:t xml:space="preserve">a) Daños materiales: con base en que el camión chevrolet estaba en perfectas condiciones y tuvo importantes daños en la parte delantera que fue destruida en su totalidad, conforme las fotografías de la IPP, pide $ 171.644.-</w:t>
      </w:r>
    </w:p>
    <w:p>
      <w:pPr>
        <w:pStyle w:val="[Normal]"/>
        <w:spacing w:line="360" w:lineRule="auto"/>
        <w:ind w:firstLine="1134"/>
        <w:jc w:val="both"/>
        <w:rPr>
          <w:lang w:val="es-AR" w:eastAsia="es-AR" w:bidi="es-AR"/>
        </w:rPr>
      </w:pPr>
      <w:r>
        <w:rPr>
          <w:lang w:val="es-AR" w:eastAsia="es-AR" w:bidi="es-AR"/>
        </w:rPr>
        <w:t xml:space="preserve">Respecto al daño material, teniendo en cuenta las facturas de reparación de fs. 14, 15, 17,  18, 19, 112 y 114 de la causa 4189, las fotografías de la causa penal IPP 12-00-001224-16/00 obrantes a fs. 141/152, la pericia mecánica de fecha 3/9/2018, surge que el monto reclamado en concepto de reparación guarda razonable congruencia con las constancias de la causa, por lo que cabe establecerlo en la suma de $ 171.644 con más intereses a la tasa pasiva más alta que paga el Banco Provincia de Buenos Aires para sus depósitos a 30 días, desde la fecha del hecho </w:t>
      </w:r>
      <w:r>
        <w:rPr>
          <w:color w:val="000000"/>
          <w:lang w:val="es-AR" w:eastAsia="es-AR" w:bidi="es-AR"/>
        </w:rPr>
        <w:t xml:space="preserve">(16 de febrero de 2016) hasta el efectivo pago.-</w:t>
      </w:r>
    </w:p>
    <w:p>
      <w:pPr>
        <w:pStyle w:val="[Normal]"/>
        <w:spacing w:line="360" w:lineRule="auto"/>
        <w:ind w:firstLine="1134"/>
        <w:jc w:val="both"/>
        <w:rPr>
          <w:lang w:val="es-AR" w:eastAsia="es-AR" w:bidi="es-AR"/>
        </w:rPr>
      </w:pPr>
      <w:r>
        <w:rPr>
          <w:lang w:val="es-AR" w:eastAsia="es-AR" w:bidi="es-AR"/>
        </w:rPr>
        <w:t xml:space="preserve">b) Lucro cesante señalando que durante 8 meses el camión estuvo parado, aduciendo que de la certificación contable acompañada se desprende que el camión y su acoplado produjeron ingresos promedios mensuales de $ 67.726 que al multipicarlos por 8 meses darían un cifra de $ 541.808.-</w:t>
      </w:r>
    </w:p>
    <w:p>
      <w:pPr>
        <w:pStyle w:val="[Normal]"/>
        <w:spacing w:line="360" w:lineRule="auto"/>
        <w:ind w:firstLine="1134"/>
        <w:jc w:val="both"/>
        <w:rPr>
          <w:lang w:val="es-AR" w:eastAsia="es-AR" w:bidi="es-AR"/>
        </w:rPr>
      </w:pPr>
      <w:r>
        <w:rPr>
          <w:lang w:val="es-AR" w:eastAsia="es-AR" w:bidi="es-AR"/>
        </w:rPr>
        <w:t xml:space="preserve">Sin perjuicio de lo indicado en los asientos contables de referencia -ver certificación de ingresos de fs. 21 y 22 de la causa 4189-, he de ponderar aquí que el lucro cesante constituye un aspecto de la obligación indemnizatoria, y más precisamente, una dimensión constitutiva de la extensión del resarcimiento debido a la víctima.-</w:t>
      </w:r>
    </w:p>
    <w:p>
      <w:pPr>
        <w:pStyle w:val="[Normal]"/>
        <w:spacing w:line="360" w:lineRule="auto"/>
        <w:ind w:firstLine="1134"/>
        <w:jc w:val="both"/>
        <w:rPr>
          <w:lang w:val="es-AR" w:eastAsia="es-AR" w:bidi="es-AR"/>
        </w:rPr>
      </w:pPr>
      <w:r>
        <w:rPr>
          <w:lang w:val="es-AR" w:eastAsia="es-AR" w:bidi="es-AR"/>
        </w:rPr>
        <w:t xml:space="preserve">En este sentido, corresponde señalar que para que un daño jurídico resulte indemnizable no basta con que se halle en relación causal adecuada con una conducta antijurídica según un factor de atribución de responsabilidad, sino que además es preciso que la reparación pretendida se adecue a los límites generales impuestos por el orden jurídico. Uno de esos límites es el principio de buena fe del cual se desprende el deber de mitigar el daño evitable por parte de la víctima.  Al respecto, se advierte que, aún cuando la demandada no ha sido completamente ajena a la causación del daño, correspondía a la empresa damnificada no paralizar la actividad comercial que desarrollaba mediante el camión de autos durante el tiempo en que insumió la reparación de éste, sino haber acudido a otro medio alternativo y provisorio de transporte (por ejemplo, arrendamiento de vehículo o contrato de transporte con terceros) a fin de reducir la pérdida derivada de la indisponibilidad temporaria del vehículo afectado.-</w:t>
      </w:r>
    </w:p>
    <w:p>
      <w:pPr>
        <w:pStyle w:val="[Normal]"/>
        <w:spacing w:line="360" w:lineRule="auto"/>
        <w:ind w:firstLine="1134"/>
        <w:jc w:val="both"/>
        <w:rPr>
          <w:lang w:val="es-AR" w:eastAsia="es-AR" w:bidi="es-AR"/>
        </w:rPr>
      </w:pPr>
      <w:r>
        <w:rPr>
          <w:lang w:val="es-AR" w:eastAsia="es-AR" w:bidi="es-AR"/>
        </w:rPr>
        <w:t xml:space="preserve">Por esta razón, considero que no corresponde receptar en el contenido de la obligación indemnizatoria la totalidad del lucro esperado por la empresa de conformidad con los datos contables ofrecidos, toda vez tales emolumentos se perdieron en parte por la pasividad observada por el damnificado en la tarea de mitigar el daño.-</w:t>
      </w:r>
    </w:p>
    <w:p>
      <w:pPr>
        <w:pStyle w:val="[Normal]"/>
        <w:spacing w:line="360" w:lineRule="auto"/>
        <w:ind w:firstLine="1134"/>
        <w:jc w:val="both"/>
        <w:rPr>
          <w:lang w:val="es-AR" w:eastAsia="es-AR" w:bidi="es-AR"/>
        </w:rPr>
      </w:pPr>
      <w:r>
        <w:rPr>
          <w:lang w:val="es-AR" w:eastAsia="es-AR" w:bidi="es-AR"/>
        </w:rPr>
        <w:t xml:space="preserve">En línea con ello, la Sala A de la Cámara Nacional Civil tuvo que resolver en un caso en el que el demandante perseguía el resarcimiento de los daños y perjuicios que había experimentado como consecuencia del impacto sobre el frente de su casa por un automóvil.-</w:t>
      </w:r>
    </w:p>
    <w:p>
      <w:pPr>
        <w:pStyle w:val="[Normal]"/>
        <w:spacing w:line="360" w:lineRule="auto"/>
        <w:ind w:firstLine="1134"/>
        <w:jc w:val="both"/>
        <w:rPr>
          <w:lang w:val="es-AR" w:eastAsia="es-AR" w:bidi="es-AR"/>
        </w:rPr>
      </w:pPr>
      <w:r>
        <w:rPr>
          <w:lang w:val="es-AR" w:eastAsia="es-AR" w:bidi="es-AR"/>
        </w:rPr>
        <w:t xml:space="preserve">El actor se agravió porque el magistrado de primer grado no acogió el resarcimiento del lucro cesante con motivo de no haber podido utilizar la habitación del frente durante todo el tiempo en que ha estado desocupada dicho espacio por no encontrarse en condiciones de habitabilidad.- </w:t>
      </w:r>
    </w:p>
    <w:p>
      <w:pPr>
        <w:pStyle w:val="[Normal]"/>
        <w:spacing w:line="360" w:lineRule="auto"/>
        <w:ind w:firstLine="1134"/>
        <w:jc w:val="both"/>
        <w:rPr>
          <w:lang w:val="es-AR" w:eastAsia="es-AR" w:bidi="es-AR"/>
        </w:rPr>
      </w:pPr>
      <w:r>
        <w:rPr>
          <w:lang w:val="es-AR" w:eastAsia="es-AR" w:bidi="es-AR"/>
        </w:rPr>
        <w:t xml:space="preserve">La Cámara confirmó el fallo de primera instancia y, entre los que argumentos que empleó, sostuvo: </w:t>
      </w:r>
      <w:r>
        <w:rPr>
          <w:i/>
          <w:lang w:val="es-AR" w:eastAsia="es-AR" w:bidi="es-AR"/>
        </w:rPr>
        <w:t xml:space="preserve">“no se explica que para evitar el daño derivado de la imposibilidad de alquilar la habitación dañada, que por el tiempo transcurrido ya alcanzaría a la cifra de $33.600 que menciona el recurrente a fs. 126 vta., éste haya omitido la realización de un gasto del orden de $11.000 a que pudo alcanzar el importe de los trabajos de reparación.  Desde este punto de vista la incuria del dueño del edificio, que tampoco ha demostrado carecer de medios para encarar ese trabajo de reparación, aparece como un factor decisivo del daño que le puede haber reportado la falta de utilización de la habitación durante todo el tiempo transcurrido desde que el hecho ilícito se cometió y, consiguientemente, ello se erige en un motivo para denegar la indemnización que se pretende, puesto que tal incrementación del daño aparece más como un efecto de esa omisión del dueño del edificio perjudicado que como consecuencia del hecho ilícito que dio origen a la situación examinada.-”</w:t>
      </w:r>
    </w:p>
    <w:p>
      <w:pPr>
        <w:pStyle w:val="[Normal]"/>
        <w:spacing w:line="360" w:lineRule="auto"/>
        <w:ind w:firstLine="1134"/>
        <w:jc w:val="both"/>
        <w:rPr>
          <w:lang w:val="es-AR" w:eastAsia="es-AR" w:bidi="es-AR"/>
        </w:rPr>
      </w:pPr>
      <w:r>
        <w:rPr>
          <w:lang w:val="es-AR" w:eastAsia="es-AR" w:bidi="es-AR"/>
        </w:rPr>
        <w:t xml:space="preserve">Lo expuesto me conduce a reducir prudencialmente el monto reclamado en virtud de este concepto y establecerlo en la suma de $ 250.000 con más intereses a la tasa pasiva más alta que paga el Banco de la Provincia de Buenos Aires desde la fecha del hecho hasta el efectivo pago.-</w:t>
      </w:r>
    </w:p>
    <w:p>
      <w:pPr>
        <w:pStyle w:val="[Normal]"/>
        <w:spacing w:line="360" w:lineRule="auto"/>
        <w:ind w:firstLine="1134"/>
        <w:jc w:val="both"/>
        <w:rPr>
          <w:lang w:val="es-AR" w:eastAsia="es-AR" w:bidi="es-AR"/>
        </w:rPr>
      </w:pPr>
      <w:r>
        <w:rPr>
          <w:lang w:val="es-AR" w:eastAsia="es-AR" w:bidi="es-AR"/>
        </w:rPr>
        <w:t xml:space="preserve">c) Desvalorización del vehículo: este rubro resulta en principio objetivamente incompatible con el daño material, toda vez que por medio del mismo se entiende resarcida toda afectación a la integridad estructural, funcional y económica del bien. Por lo que si por vía de excepción el reclamante pretende demostrar la insuficiencia de lo otorgado en concepto de daño material para lograr dicho fin tendrá la carga de acreditar que pese a las reparaciones efectuadas el bien afectado no ha quedado plenamente restaurado ya que de otro modo se incurriría en una duplicidad indemnizatoria.  Y dado que tal cuestión no se halla demostrada en autos, cabe rechazar el rubro solicitado.-</w:t>
      </w:r>
    </w:p>
    <w:p>
      <w:pPr>
        <w:pStyle w:val="[Normal]"/>
        <w:spacing w:line="360" w:lineRule="auto"/>
        <w:ind w:firstLine="1134"/>
        <w:jc w:val="both"/>
        <w:rPr>
          <w:lang w:val="es-AR" w:eastAsia="es-AR" w:bidi="es-AR"/>
        </w:rPr>
      </w:pPr>
      <w:r>
        <w:rPr>
          <w:lang w:val="es-AR" w:eastAsia="es-AR" w:bidi="es-AR"/>
        </w:rPr>
        <w:t xml:space="preserve">d) Que el daño emergente peticionado en virtud de los gastos asociados a los reclamos judiciales que fueran a la postre objeto del convenio homologado en la causa 13.602 con trámite por ante el Juzgado de Paz Letrado de Alberti han de estimarse como un daño resarcible constitutivo de la indemnización (ver resolución homologatoria de fs. 29 y 30), por cuanto la empresa actora asumió la reparación económica convenida que de acuerdo a los criterios sentado en la presente causa correspondía cargar sobre el patrimonio de la parte aquí demandada. Y todo ello fue homologado por el órgano judicial interviniente.  A tenor de lo que surge del instrumento mencionado, y teniendo en cuenta que la procedencia de dicho monto convenido no ha sido eficazmente controvertido en esta causa por la parte demandada, propongo que el rubro en cuestión quede cifrado en la suma de 1.799.000 con más intereses a la tasa pasiva más alta que paga el Banco Provincia para sus depósitos a 30 días desde la fecha del hecho </w:t>
      </w:r>
      <w:r>
        <w:rPr>
          <w:color w:val="000000"/>
          <w:lang w:val="es-AR" w:eastAsia="es-AR" w:bidi="es-AR"/>
        </w:rPr>
        <w:t xml:space="preserve">(16 de febrero de 2016).</w:t>
      </w:r>
      <w:r>
        <w:rPr>
          <w:lang w:val="es-AR" w:eastAsia="es-AR" w:bidi="es-AR"/>
        </w:rPr>
        <w:t xml:space="preserve"> hasta el efectivo pago.-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Bernardo Louise y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por la parte actora, revocando en forma total la sentencia de grado, comprensiva de las causas acumuladas.-</w:t>
      </w:r>
    </w:p>
    <w:p>
      <w:pPr>
        <w:pStyle w:val="[Normal]"/>
        <w:spacing w:line="360" w:lineRule="auto"/>
        <w:ind w:firstLine="1134"/>
        <w:jc w:val="both"/>
        <w:rPr>
          <w:lang w:val="es-AR" w:eastAsia="es-AR" w:bidi="es-AR"/>
        </w:rPr>
      </w:pPr>
      <w:r>
        <w:rPr>
          <w:lang w:val="es-AR" w:eastAsia="es-AR" w:bidi="es-AR"/>
        </w:rPr>
        <w:t xml:space="preserve">En consecuencia, 1) Hacer lugar a la demanda incoada por  Juan Ramón Pampín y Estela Mónica Chaves contra Speed Agro S.R.L., Gustavo Ariel Zapata y San Cristóbal Seguros,  imputando a la parte demandada  en un 80 % de responsabilidad en el evento dañoso,   condenándolos a pagar en esa proporción a la parte actora dentro del plazo de 10 días de notificada la presente la suma de PESOS SEISCIENTOS MIL ($ 600.000)  para cada uno de los progenitores Juan Ramón Pampin y Estela Chaves en concepto de PERDIDA DE CHANCE;  la suma de PESOS UN MILLON ( $ 1.000.000)  para cada uno de ellos en concepto de DAÑO MORAL, y la suma de PESOS CIEN MIL ($ 100.000)   para cada uno de ellos en concepto de TRATAMIENTO SICOLOGICO, importes a los que se debe aditar los intereses que fueran detallados en los considerandos del presente.-</w:t>
      </w:r>
    </w:p>
    <w:p>
      <w:pPr>
        <w:pStyle w:val="[Normal]"/>
        <w:spacing w:line="360" w:lineRule="auto"/>
        <w:ind w:firstLine="1134"/>
        <w:jc w:val="both"/>
        <w:rPr>
          <w:lang w:val="es-AR" w:eastAsia="es-AR" w:bidi="es-AR"/>
        </w:rPr>
      </w:pPr>
      <w:r>
        <w:rPr>
          <w:lang w:val="es-AR" w:eastAsia="es-AR" w:bidi="es-AR"/>
        </w:rPr>
        <w:t xml:space="preserve">2) Hacer lugar a la demanda promovida por Transporte None SA condenando a la parte demandada en un 80% de responsabilidad en el evento dañoso, a abonarle  dentro del plazo de 10 días de quedar firme la presente, los siguientes conceptos: la suma de PESOS CIENTO SETENTA Y UN MIL SEISCIENTOS CUARENTA Y CUATRO ($ 171.644) en concepto de DAÑO MATERIAL;  la suma de PESOS DOSCIENTOS CINCUENTA MIL  ($ 250.000) por LUCRO CESANTE y la suma de PESOS UN MILLON SETECIENTOS NOVENTA Y NUEVE MIL ($ 1.799.000) por DAÑO EMERGENTE; a estos importes se le adicionarán los intereses detallados en los considerandos del presente-</w:t>
      </w:r>
    </w:p>
    <w:p>
      <w:pPr>
        <w:pStyle w:val="[Normal]"/>
        <w:spacing w:line="360" w:lineRule="auto"/>
        <w:ind w:firstLine="1134"/>
        <w:jc w:val="both"/>
        <w:rPr>
          <w:lang w:val="es-AR" w:eastAsia="es-AR" w:bidi="es-AR"/>
        </w:rPr>
      </w:pPr>
      <w:r>
        <w:rPr>
          <w:lang w:val="es-AR" w:eastAsia="es-AR" w:bidi="es-AR"/>
        </w:rPr>
        <w:t xml:space="preserve">3) Las costas del juicio serán a cargo de la parte demandada (art. 68 del CPCC) en la proporción de responsabilidad imputada (80%).-</w:t>
      </w:r>
    </w:p>
    <w:p>
      <w:pPr>
        <w:pStyle w:val="[Normal]"/>
        <w:spacing w:line="360" w:lineRule="auto"/>
        <w:ind w:firstLine="1134"/>
        <w:jc w:val="both"/>
        <w:rPr>
          <w:lang w:val="es-AR" w:eastAsia="es-AR" w:bidi="es-AR"/>
        </w:rPr>
      </w:pPr>
      <w:r>
        <w:rPr>
          <w:lang w:val="es-AR" w:eastAsia="es-AR" w:bidi="es-AR"/>
        </w:rPr>
        <w:t xml:space="preserve">Dejar sin efecto todas las regulaciones de honorarios de letrados, peritos y mediadores, y diferir las mismas hasta el momento que obre liquidación firme (art. 31 y ccs de la ley arancelaria).-</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Bernardo Louise y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Hacer lugar a la demanda incoada por  Juan Ramón Pampín y Estela Mónica Chaves contra Speed Agro S.R.L., Gustavo Ariel Zapata y San Cristóbal Seguros,  imputando a la parte demandada  en un 80 % de responsabilidad en el evento dañoso,   condenándolos a pagar en esa proporción a la parte actora dentro del plazo de 10 días de notificada la presente la suma de PESOS SEISCIENTOS MIL ($ 600.000)  para cada uno de los progenitores Juan Ramón Pampin y Estela Chaves en concepto de PERDIDA DE CHANCE;  la suma de PESOS UN MILLON ( $ 1.000.000)  para cada uno de ellos en concepto de DAÑO MORAL, y la suma de PESOS CIEN MIL ($ 100.000)   para cada uno de ellos en concepto de TRATAMIENTO SICOLOGICO, importes a los que se debe aditar los intereses que fueran detallados en los considerandos del presente.-</w:t>
      </w:r>
    </w:p>
    <w:p>
      <w:pPr>
        <w:pStyle w:val="[Normal]"/>
        <w:spacing w:line="360" w:lineRule="auto"/>
        <w:ind w:firstLine="1134"/>
        <w:jc w:val="both"/>
        <w:rPr>
          <w:lang w:val="es-AR" w:eastAsia="es-AR" w:bidi="es-AR"/>
        </w:rPr>
      </w:pPr>
      <w:r>
        <w:rPr>
          <w:lang w:val="es-AR" w:eastAsia="es-AR" w:bidi="es-AR"/>
        </w:rPr>
        <w:t xml:space="preserve">2) Hacer lugar a la demanda promovida por Transporte None SA condenando a la parte demandada en un 80% de responsabilidad en el evento dañoso, a abonarle  dentro del plazo de 10 días de quedar firme la presente, los siguientes conceptos: la suma de PESOS CIENTO SETENTA Y UN MIL SEISCIENTOS CUARENTA Y CUATRO ($ 171.644) en concepto de DAÑO MATERIAL;  la suma de PESOS DOSCIENTOS CINCUENTA MIL  ($ 250.000) por LUCRO CESANTE y la suma de PESOS UN MILLON SETECIENTOS NOVENTA Y NUEVE MIL ($ 1.799.000) por DAÑO EMERGENTE; a estos importes se le adicionarán los intereses detallados en los considerandos del presente-</w:t>
      </w:r>
    </w:p>
    <w:p>
      <w:pPr>
        <w:pStyle w:val="[Normal]"/>
        <w:spacing w:line="360" w:lineRule="auto"/>
        <w:ind w:firstLine="1134"/>
        <w:jc w:val="both"/>
        <w:rPr>
          <w:lang w:val="es-AR" w:eastAsia="es-AR" w:bidi="es-AR"/>
        </w:rPr>
      </w:pPr>
      <w:r>
        <w:rPr>
          <w:lang w:val="es-AR" w:eastAsia="es-AR" w:bidi="es-AR"/>
        </w:rPr>
        <w:t xml:space="preserve">3) Las costas del juicio serán a cargo de la parte demandada (art. 68 del CPCC) en la proporción de responsabilidad imputada (80%).-</w:t>
      </w:r>
    </w:p>
    <w:p>
      <w:pPr>
        <w:pStyle w:val="[Normal]"/>
        <w:spacing w:line="360" w:lineRule="auto"/>
        <w:ind w:firstLine="1134"/>
        <w:jc w:val="both"/>
        <w:rPr>
          <w:lang w:val="es-AR" w:eastAsia="es-AR" w:bidi="es-AR"/>
        </w:rPr>
      </w:pPr>
      <w:r>
        <w:rPr>
          <w:lang w:val="es-AR" w:eastAsia="es-AR" w:bidi="es-AR"/>
        </w:rPr>
        <w:t xml:space="preserve">Dejar sin efecto todas las regulaciones de honorarios de letrados, peritos y mediadores, y diferir las mismas hasta el momento que obre liquidación firme (art. 31 y ccs de la ley arancelaria).-</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Regístrese. Glosese copia a las acumuladas: N° 4189-21 - </w:t>
      </w:r>
      <w:r>
        <w:rPr>
          <w:b/>
          <w:lang w:val="es-AR" w:eastAsia="es-AR" w:bidi="es-AR"/>
        </w:rPr>
        <w:t xml:space="preserve">"TRANSPORTE NONE S.A. C/ SPEEDAGRO SRL Y OTROS S/ DAÑOS Y PERJ. AUTOM. S/LESIONES (EXC. ESTADO)"</w:t>
      </w:r>
      <w:r>
        <w:rPr>
          <w:lang w:val="es-AR" w:eastAsia="es-AR" w:bidi="es-AR"/>
        </w:rPr>
        <w:t xml:space="preserve"> y N° 4195-21 </w:t>
      </w:r>
      <w:r>
        <w:rPr>
          <w:b/>
          <w:lang w:val="es-AR" w:eastAsia="es-AR" w:bidi="es-AR"/>
        </w:rPr>
        <w:t xml:space="preserve">"</w:t>
      </w:r>
      <w:r>
        <w:rPr>
          <w:b/>
          <w:color w:val="000000"/>
          <w:lang w:val="es-AR" w:eastAsia="es-AR" w:bidi="es-AR"/>
        </w:rPr>
        <w:t xml:space="preserve">MONDINALE ELIANA SOLEDAD C/ ZAPATA GUSTAVO ARIEL Y OTROS S/ DAÑOS Y PERJ. AUTOM. C/LES. O MUERTE (EXC. ESTADO)</w:t>
      </w:r>
      <w:r>
        <w:rPr>
          <w:b/>
          <w:lang w:val="es-AR" w:eastAsia="es-AR" w:bidi="es-AR"/>
        </w:rPr>
        <w:t xml:space="preserve">"</w:t>
      </w:r>
      <w:r>
        <w:rPr>
          <w:lang w:val="es-AR" w:eastAsia="es-AR" w:bidi="es-AR"/>
        </w:rPr>
        <w:t xml:space="preserv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20073739218@NOTIFICACIONES.SCBA.GOV.AR</w:t>
      </w:r>
    </w:p>
    <w:p>
      <w:pPr>
        <w:pStyle w:val="[Normal]"/>
        <w:spacing w:line="360" w:lineRule="auto"/>
        <w:ind w:firstLine="1134"/>
        <w:jc w:val="both"/>
        <w:rPr>
          <w:color w:val="000000"/>
          <w:lang w:val="es-AR" w:eastAsia="es-AR" w:bidi="es-AR"/>
        </w:rPr>
      </w:pPr>
      <w:r>
        <w:rPr>
          <w:color w:val="000000"/>
          <w:lang w:val="es-AR" w:eastAsia="es-AR" w:bidi="es-AR"/>
        </w:rPr>
        <w:t xml:space="preserve">27058140444@NOTIFICACIONES.SCBA.GOV.AR</w:t>
      </w:r>
    </w:p>
    <w:p>
      <w:pPr>
        <w:pStyle w:val="[Normal]"/>
        <w:spacing w:line="360" w:lineRule="auto"/>
        <w:ind w:firstLine="1134"/>
        <w:jc w:val="both"/>
        <w:rPr>
          <w:color w:val="000000"/>
          <w:lang w:val="es-AR" w:eastAsia="es-AR" w:bidi="es-AR"/>
        </w:rPr>
      </w:pPr>
      <w:r>
        <w:rPr>
          <w:color w:val="000000"/>
          <w:lang w:val="es-AR" w:eastAsia="es-AR" w:bidi="es-AR"/>
        </w:rPr>
        <w:t xml:space="preserve">20046948484@NOTIFICACIONES.SCBA.GOV.AR</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31/08/2021 09:18:08 -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31/08/2021 09:52:31 -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31/08/2021 10:48:36 -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31/08/2021 10:58:00 -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20046948484@NOTIFICACIONES.SCBA.GOV.AR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20073739218@NOTIFICACIONES.SCBA.GOV.AR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27058140444@NOTIFICACIONES.SCBA.GOV.AR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‰7t")è%5‚ASŠ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238402090005219833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Registrado en REGISTRO DE SENTENCIAS el 31/08/2021 10:59:14 hs. bajo el número RS-4-2021 por PE\NMARTINEZ NICOLAS.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‰7t")è%5‚ASŠ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238402090005219833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Times New Roman" w:hAnsi="Times New Roman" w:eastAsia="Times New Roman" w:cs="Times New Roman"/>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Emphasis">
    <w:name w:val="Emphasis"/>
    <w:qFormat/>
    <w:rPr>
      <w:rFonts w:ascii="Times New Roman" w:hAnsi="Times New Roman" w:eastAsia="Times New Roman" w:cs="Times New Roman"/>
      <w:i/>
      <w:i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