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wdp" ContentType="image/vnd.ms-photo"/>
  <Default Extension="jxr" ContentType="image/vnd.ms-photo"/>
  <Default Extension="bin" ContentType="application/vnd.openxmlformats-officedocument.oleObject"/>
  <Override PartName="/word/document.xml" ContentType="application/vnd.openxmlformats-officedocument.wordprocessingml.document.main+xml"/>
  <Override PartName="/word/styles.xml" ContentType="application/vnd.openxmlformats-officedocument.wordprocessingml.styles+xml"/>
  <Override PartName="/word/header0001.xml" ContentType="application/vnd.openxmlformats-officedocument.wordprocessingml.header+xml"/>
  <Override PartName="/word/footer0001.xml" ContentType="application/vnd.openxmlformats-officedocument.wordprocessingml.footer+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body>
    <w:p>
      <w:pPr>
        <w:pStyle w:val="[Normal]"/>
        <w:rPr>
          <w:lang w:val="es-AR" w:eastAsia="es-AR" w:bidi="es-AR"/>
        </w:rPr>
      </w:pPr>
    </w:p>
    <w:p>
      <w:pPr>
        <w:pStyle w:val="[Normal]"/>
        <w:spacing w:line="360" w:lineRule="auto"/>
        <w:rPr>
          <w:lang w:val="es-AR" w:eastAsia="es-AR" w:bidi="es-AR"/>
        </w:rPr>
      </w:pPr>
      <w:r>
        <w:rPr>
          <w:b/>
          <w:lang w:val="es-AR" w:eastAsia="es-AR" w:bidi="es-AR"/>
        </w:rPr>
        <w:t xml:space="preserve">	Registro N°  89 /</w:t>
      </w:r>
      <w:r>
        <w:rPr>
          <w:b/>
          <w:color w:val="000000"/>
          <w:lang w:val="es-AR" w:eastAsia="es-AR" w:bidi="es-AR"/>
        </w:rPr>
        <w:t xml:space="preserve">2021</w:t>
      </w:r>
      <w:r>
        <w:rPr>
          <w:color w:val="000000"/>
          <w:lang w:val="es-AR" w:eastAsia="es-AR" w:bidi="es-AR"/>
        </w:rPr>
        <w:t xml:space="preserve"> </w:t>
      </w:r>
    </w:p>
    <w:p>
      <w:pPr>
        <w:pStyle w:val="[Normal]"/>
        <w:spacing w:line="360" w:lineRule="auto"/>
        <w:jc w:val="both"/>
        <w:rPr>
          <w:lang w:val="es-AR" w:eastAsia="es-AR" w:bidi="es-AR"/>
        </w:rPr>
      </w:pPr>
      <w:r>
        <w:rPr>
          <w:lang w:val="es-AR" w:eastAsia="es-AR" w:bidi="es-AR"/>
        </w:rPr>
        <w:t xml:space="preserve">	</w:t>
      </w:r>
      <w:r>
        <w:rPr>
          <w:b/>
          <w:lang w:val="es-AR" w:eastAsia="es-AR" w:bidi="es-AR"/>
        </w:rPr>
        <w:t xml:space="preserve">Fojas 502/506</w:t>
      </w:r>
    </w:p>
    <w:p>
      <w:pPr>
        <w:pStyle w:val="[Normal]"/>
        <w:spacing w:line="360" w:lineRule="auto"/>
        <w:jc w:val="both"/>
        <w:rPr>
          <w:lang w:val="es-AR" w:eastAsia="es-AR" w:bidi="es-AR"/>
        </w:rPr>
      </w:pPr>
    </w:p>
    <w:p>
      <w:pPr>
        <w:pStyle w:val="[Normal]"/>
        <w:spacing w:line="360" w:lineRule="auto"/>
        <w:ind w:firstLine="1134"/>
        <w:jc w:val="both"/>
        <w:rPr>
          <w:lang w:val="es-AR" w:eastAsia="es-AR" w:bidi="es-AR"/>
        </w:rPr>
      </w:pPr>
      <w:r>
        <w:rPr>
          <w:lang w:val="es-AR" w:eastAsia="es-AR" w:bidi="es-AR"/>
        </w:rPr>
        <w:t xml:space="preserve">En la ciudad de Pergamino reunidos en Acuerdo Ordinario los Sres. Jueces de la Excma. Cámara de Apelación en lo Civil y Comercial del Departamento Judicial Pergamino, para dictar sentencia en la causa N° </w:t>
      </w:r>
      <w:r>
        <w:rPr>
          <w:color w:val="000000"/>
          <w:lang w:val="es-AR" w:eastAsia="es-AR" w:bidi="es-AR"/>
        </w:rPr>
        <w:t xml:space="preserve">4236</w:t>
      </w:r>
      <w:r>
        <w:rPr>
          <w:lang w:val="es-AR" w:eastAsia="es-AR" w:bidi="es-AR"/>
        </w:rPr>
        <w:t xml:space="preserve"> caratulada </w:t>
      </w:r>
      <w:r>
        <w:rPr>
          <w:b/>
          <w:lang w:val="es-AR" w:eastAsia="es-AR" w:bidi="es-AR"/>
        </w:rPr>
        <w:t xml:space="preserve">"</w:t>
      </w:r>
      <w:r>
        <w:rPr>
          <w:b/>
          <w:color w:val="000000"/>
          <w:lang w:val="es-AR" w:eastAsia="es-AR" w:bidi="es-AR"/>
        </w:rPr>
        <w:t xml:space="preserve">CFN S.A.  C/ SOSA PRISCILA ELISABETH S/ COBRO EJECUTIVO</w:t>
      </w:r>
      <w:r>
        <w:rPr>
          <w:b/>
          <w:lang w:val="es-AR" w:eastAsia="es-AR" w:bidi="es-AR"/>
        </w:rPr>
        <w:t xml:space="preserve">"</w:t>
      </w:r>
      <w:r>
        <w:rPr>
          <w:lang w:val="es-AR" w:eastAsia="es-AR" w:bidi="es-AR"/>
        </w:rPr>
        <w:t xml:space="preserve">, Expte. N° 62653 del </w:t>
      </w:r>
      <w:r>
        <w:rPr>
          <w:color w:val="000000"/>
          <w:lang w:val="es-AR" w:eastAsia="es-AR" w:bidi="es-AR"/>
        </w:rPr>
        <w:t xml:space="preserve">Juzgado en lo Civil y Comercial N° 3</w:t>
      </w:r>
      <w:r>
        <w:rPr>
          <w:lang w:val="es-AR" w:eastAsia="es-AR" w:bidi="es-AR"/>
        </w:rPr>
        <w:t xml:space="preserve">, se practicó el sorteo de ley que determinó que la votación debía efectuarse en el siguiente orden: Roberto Manuel Degleue, Bernardo Louise y Graciela Scaraffía, y estudiados los autos se resolvió  plantear y votar las siguientes: </w:t>
      </w:r>
    </w:p>
    <w:p>
      <w:pPr>
        <w:pStyle w:val="[Normal]"/>
        <w:spacing w:line="360" w:lineRule="auto"/>
        <w:ind w:firstLine="1134"/>
        <w:jc w:val="both"/>
        <w:rPr>
          <w:lang w:val="es-AR" w:eastAsia="es-AR" w:bidi="es-AR"/>
        </w:rPr>
      </w:pPr>
      <w:r>
        <w:rPr>
          <w:lang w:val="es-AR" w:eastAsia="es-AR" w:bidi="es-AR"/>
        </w:rPr>
        <w:t xml:space="preserve">C U E S T I O N E S:</w:t>
      </w:r>
    </w:p>
    <w:p>
      <w:pPr>
        <w:pStyle w:val="[Normal]"/>
        <w:spacing w:line="360" w:lineRule="auto"/>
        <w:ind w:firstLine="1134"/>
        <w:jc w:val="both"/>
        <w:rPr>
          <w:lang w:val="es-AR" w:eastAsia="es-AR" w:bidi="es-AR"/>
        </w:rPr>
      </w:pPr>
      <w:r>
        <w:rPr>
          <w:lang w:val="es-AR" w:eastAsia="es-AR" w:bidi="es-AR"/>
        </w:rPr>
        <w:t xml:space="preserve">I) ¿Se ajusta a derecho la sentencia en lo apelado?.</w:t>
      </w:r>
    </w:p>
    <w:p>
      <w:pPr>
        <w:pStyle w:val="[Normal]"/>
        <w:spacing w:line="360" w:lineRule="auto"/>
        <w:ind w:firstLine="1134"/>
        <w:jc w:val="both"/>
        <w:rPr>
          <w:lang w:val="es-AR" w:eastAsia="es-AR" w:bidi="es-AR"/>
        </w:rPr>
      </w:pPr>
      <w:r>
        <w:rPr>
          <w:lang w:val="es-AR" w:eastAsia="es-AR" w:bidi="es-AR"/>
        </w:rPr>
        <w:t xml:space="preserve">II) ¿Qué pronunciamiento corresponde dictar?.</w:t>
      </w:r>
    </w:p>
    <w:p>
      <w:pPr>
        <w:pStyle w:val="[Normal]"/>
        <w:spacing w:line="360" w:lineRule="auto"/>
        <w:ind w:firstLine="1134"/>
        <w:jc w:val="both"/>
        <w:rPr>
          <w:lang w:val="es-AR" w:eastAsia="es-AR" w:bidi="es-AR"/>
        </w:rPr>
      </w:pPr>
      <w:r>
        <w:rPr>
          <w:lang w:val="es-AR" w:eastAsia="es-AR" w:bidi="es-AR"/>
        </w:rPr>
        <w:t xml:space="preserve">A la primera cuestión el señor Juez, Roberto Manuel Degleue dijo:</w:t>
      </w:r>
    </w:p>
    <w:p>
      <w:pPr>
        <w:pStyle w:val="[Normal]"/>
        <w:spacing w:line="360" w:lineRule="auto"/>
        <w:ind w:firstLine="1134"/>
        <w:jc w:val="both"/>
        <w:rPr>
          <w:lang w:val="es-AR" w:eastAsia="es-AR" w:bidi="es-AR"/>
        </w:rPr>
      </w:pPr>
      <w:r>
        <w:rPr>
          <w:lang w:val="es-AR" w:eastAsia="es-AR" w:bidi="es-AR"/>
        </w:rPr>
        <w:t xml:space="preserve">El señor Juez de primera instancia dictó sentencia de trance y  remate, mandando llevar adelante la ejecución hasta tanto la ejecutada Priscila Elisabeth Sosa haga al acreedor CFN S.A. íntegro pago del capital reclamado $4.468,55 con más sus intereses calculados conforme a la tasa que percibe el Banco de la Provincia de Buenos Aires en sus operaciones ordinarias de descuento (tasa activa), a partir de la fecha de la mora (</w:t>
      </w:r>
      <w:r>
        <w:rPr>
          <w:color w:val="000000"/>
          <w:lang w:val="es-AR" w:eastAsia="es-AR" w:bidi="es-AR"/>
        </w:rPr>
        <w:t xml:space="preserve">5-1-2019), </w:t>
      </w:r>
      <w:r>
        <w:rPr>
          <w:rFonts w:ascii="Times New Roman" w:hAnsi="Times New Roman" w:eastAsia="Times New Roman" w:cs="Times New Roman"/>
          <w:lang w:val="es-AR" w:eastAsia="es-AR" w:bidi="es-AR"/>
        </w:rPr>
        <w:t xml:space="preserve"> </w:t>
      </w:r>
      <w:r>
        <w:rPr>
          <w:lang w:val="es-AR" w:eastAsia="es-AR" w:bidi="es-AR"/>
        </w:rPr>
        <w:t xml:space="preserve">los que se capitalizaran a partir del momento de notificación de la demanda (17-10-2019). Impuso las costas a la parte demandada y difirió la regulación de honorarios del  letrado interviniente hasta que obre en autos liquidación firme.</w:t>
      </w:r>
    </w:p>
    <w:p>
      <w:pPr>
        <w:pStyle w:val="[Normal]"/>
        <w:spacing w:line="360" w:lineRule="auto"/>
        <w:ind w:firstLine="1134"/>
        <w:jc w:val="both"/>
        <w:rPr>
          <w:lang w:val="es-AR" w:eastAsia="es-AR" w:bidi="es-AR"/>
        </w:rPr>
      </w:pPr>
      <w:r>
        <w:rPr>
          <w:lang w:val="es-AR" w:eastAsia="es-AR" w:bidi="es-AR"/>
        </w:rPr>
        <w:t xml:space="preserve">Disconforme con lo decidido, el accionante deduce recurso de apelación en fecha 26-3-2021, concedido en relación el 31-3-2021, fundando su recurso en el acto de su interposición, no habiendo la contraria contestado el traslado conferido. En fecha 13-4-2021 se ordena elevar a ésta Excma. Cámara y el 20-4-2021</w:t>
      </w:r>
      <w:r>
        <w:rPr>
          <w:b/>
          <w:lang w:val="es-AR" w:eastAsia="es-AR" w:bidi="es-AR"/>
        </w:rPr>
        <w:t xml:space="preserve"> </w:t>
      </w:r>
      <w:r>
        <w:rPr>
          <w:lang w:val="es-AR" w:eastAsia="es-AR" w:bidi="es-AR"/>
        </w:rPr>
        <w:t xml:space="preserve">se llama autos para resolver, providencia que firme a la fecha deja la causa en condiciones de ser fallada.</w:t>
      </w:r>
    </w:p>
    <w:p>
      <w:pPr>
        <w:pStyle w:val="[Normal]"/>
        <w:spacing w:line="360" w:lineRule="auto"/>
        <w:ind w:firstLine="1134"/>
        <w:jc w:val="both"/>
        <w:rPr>
          <w:lang w:val="es-AR" w:eastAsia="es-AR" w:bidi="es-AR"/>
        </w:rPr>
      </w:pPr>
      <w:r>
        <w:rPr>
          <w:lang w:val="es-AR" w:eastAsia="es-AR" w:bidi="es-AR"/>
        </w:rPr>
        <w:t xml:space="preserve">La quejosa se agravia del decisorio atacado y solicita</w:t>
      </w:r>
      <w:r>
        <w:rPr>
          <w:lang w:val="es-AR" w:eastAsia="es-AR" w:bidi="es-AR"/>
        </w:rPr>
        <w:t xml:space="preserve"> se modifique el capital de la ejecución y se respeten los intereses pactados.</w:t>
      </w:r>
    </w:p>
    <w:p>
      <w:pPr>
        <w:pStyle w:val="[Normal]"/>
        <w:spacing w:line="360" w:lineRule="auto"/>
        <w:ind w:firstLine="1134"/>
        <w:jc w:val="both"/>
        <w:rPr>
          <w:lang w:val="es-AR" w:eastAsia="es-AR" w:bidi="es-AR"/>
        </w:rPr>
      </w:pPr>
      <w:r>
        <w:rPr>
          <w:lang w:val="es-AR" w:eastAsia="es-AR" w:bidi="es-AR"/>
        </w:rPr>
        <w:t xml:space="preserve">En apoyo a su postura manifiesta que el a-quo</w:t>
      </w:r>
      <w:r>
        <w:rPr>
          <w:lang w:val="es-AR" w:eastAsia="es-AR" w:bidi="es-AR"/>
        </w:rPr>
        <w:t xml:space="preserve"> imputa los pagos denunciados en su totalidad al capital, cuando dicha facultad de imputar los desembolsos corresponde al acreedor en tanto se respete el orden de prelación que establece la normativa. </w:t>
      </w:r>
    </w:p>
    <w:p>
      <w:pPr>
        <w:pStyle w:val="[Normal]"/>
        <w:spacing w:line="360" w:lineRule="auto"/>
        <w:ind w:firstLine="1134"/>
        <w:jc w:val="both"/>
        <w:rPr>
          <w:lang w:val="es-AR" w:eastAsia="es-AR" w:bidi="es-AR"/>
        </w:rPr>
      </w:pPr>
      <w:r>
        <w:rPr>
          <w:lang w:val="es-AR" w:eastAsia="es-AR" w:bidi="es-AR"/>
        </w:rPr>
        <w:t xml:space="preserve">Sostiene que los pagos realizados por el demandado ya han sido descontados de los montos de cada uno de los títulos base de la presente ejecución y como bien se informa en la documentación adjunta al título, el sistema de amortización utilizado por su parte es el directo donde cada cuota tiene un monto fijo, el cual se compone de porciones iguales de capital e interés compensatorio pactado y que sin embargo, el a-quo atribuye la totalidad de las cancelaciones realizadas a capital, como si se estuviera frente a un mutuo gratuito, cuando el mismo es oneroso.</w:t>
      </w:r>
    </w:p>
    <w:p>
      <w:pPr>
        <w:pStyle w:val="[Normal]"/>
        <w:spacing w:line="360" w:lineRule="auto"/>
        <w:ind w:firstLine="1134"/>
        <w:jc w:val="both"/>
        <w:rPr>
          <w:lang w:val="es-AR" w:eastAsia="es-AR" w:bidi="es-AR"/>
        </w:rPr>
      </w:pPr>
      <w:r>
        <w:rPr>
          <w:lang w:val="es-AR" w:eastAsia="es-AR" w:bidi="es-AR"/>
        </w:rPr>
        <w:t xml:space="preserve">Asimismo, señala que los intereses compensatorios son aquellos que se adeudan como contraprestación o precio por la utilización de un capital ajeno y están autorizadas las partes a fijarlos, siendo válida la tasa pactada para su liquidación.</w:t>
      </w:r>
    </w:p>
    <w:p>
      <w:pPr>
        <w:pStyle w:val="[Normal]"/>
        <w:spacing w:line="360" w:lineRule="auto"/>
        <w:ind w:firstLine="1134"/>
        <w:jc w:val="both"/>
        <w:rPr>
          <w:lang w:val="es-AR" w:eastAsia="es-AR" w:bidi="es-AR"/>
        </w:rPr>
      </w:pPr>
      <w:r>
        <w:rPr>
          <w:lang w:val="es-AR" w:eastAsia="es-AR" w:bidi="es-AR"/>
        </w:rPr>
        <w:t xml:space="preserve">Manifiesta que ante la necesidad de integrar el contrato; primero el juez debe analizar la autonomía de la voluntad de las mismas partes que establecieron un contexto, del cual puede inferirse cuál fue su intención respecto del tema en cuestión. La actividad integradora no puede desnaturalizar el objeto de contratación, cambiando una contratación onerosa a un mutuo gratuito.</w:t>
      </w:r>
    </w:p>
    <w:p>
      <w:pPr>
        <w:pStyle w:val="[Normal]"/>
        <w:spacing w:line="360" w:lineRule="auto"/>
        <w:ind w:firstLine="1134"/>
        <w:jc w:val="both"/>
        <w:rPr>
          <w:lang w:val="es-AR" w:eastAsia="es-AR" w:bidi="es-AR"/>
        </w:rPr>
      </w:pPr>
      <w:r>
        <w:rPr>
          <w:lang w:val="es-AR" w:eastAsia="es-AR" w:bidi="es-AR"/>
        </w:rPr>
        <w:t xml:space="preserve">En el caso, advierte que las partes convinieron un mutuo oneroso con devolución de intereses compensatorios y pactaron en caso de falta de cumplimiento intereses moratorios y punitorios sobre el capital.</w:t>
      </w:r>
    </w:p>
    <w:p>
      <w:pPr>
        <w:pStyle w:val="[Normal]"/>
        <w:spacing w:line="360" w:lineRule="auto"/>
        <w:ind w:firstLine="1134"/>
        <w:jc w:val="both"/>
        <w:rPr>
          <w:lang w:val="es-AR" w:eastAsia="es-AR" w:bidi="es-AR"/>
        </w:rPr>
      </w:pPr>
      <w:r>
        <w:rPr>
          <w:lang w:val="es-AR" w:eastAsia="es-AR" w:bidi="es-AR"/>
        </w:rPr>
        <w:t xml:space="preserve">Consigna antecedentes jurisprudenciales de la SCBA y de éste Tribunal en apoyo de su postura.</w:t>
      </w:r>
    </w:p>
    <w:p>
      <w:pPr>
        <w:pStyle w:val="[Normal]"/>
        <w:spacing w:line="360" w:lineRule="auto"/>
        <w:ind w:firstLine="1134"/>
        <w:jc w:val="both"/>
        <w:rPr>
          <w:lang w:val="es-AR" w:eastAsia="es-AR" w:bidi="es-AR"/>
        </w:rPr>
      </w:pPr>
      <w:r>
        <w:rPr>
          <w:lang w:val="es-AR" w:eastAsia="es-AR" w:bidi="es-AR"/>
        </w:rPr>
        <w:t xml:space="preserve">Peticiona en consecuencia, se revoque parcialmente la sentencia mandando llevar adelante la ejecución por los montos peticionados en la demanda, más los intereses pactados ello sin perjuicio de su eventual morigeración en la etapa procesal pertinente. </w:t>
      </w:r>
    </w:p>
    <w:p>
      <w:pPr>
        <w:pStyle w:val="[Normal]"/>
        <w:spacing w:line="360" w:lineRule="auto"/>
        <w:ind w:firstLine="1134"/>
        <w:jc w:val="both"/>
        <w:rPr>
          <w:b/>
          <w:lang w:val="es-AR" w:eastAsia="es-AR" w:bidi="es-AR"/>
        </w:rPr>
      </w:pPr>
      <w:r>
        <w:rPr>
          <w:lang w:val="es-AR" w:eastAsia="es-AR" w:bidi="es-AR"/>
        </w:rPr>
        <w:t xml:space="preserve">Entrando a resolver, cabe señalar que en relación a la determinación del monto por el cual ha de prosperar la ejecución, debo anticipar que sobre esta temática ya me he pronunciado en causas anteriores (N° 3818, 3885, 4072, ent. ots.), en el sentido de que procede mandar a pagar el capital -o saldo reclamado según el caso- más intereses pactados contractualmente, con deducción de los importes ya abonados, todo ello sin perjuicio de diferir la evaluación de si los mismos resultaban excesivos y contrarios a la moral y buenas costumbres al momento procesal de examinar la liquidación, teniendo en cuenta lo que disponen los arts. 10, 279, 771, 794 y ccs. del Código Civil y Comercial.</w:t>
      </w:r>
    </w:p>
    <w:p>
      <w:pPr>
        <w:pStyle w:val="[Normal]"/>
        <w:spacing w:line="360" w:lineRule="auto"/>
        <w:ind w:firstLine="1134"/>
        <w:jc w:val="both"/>
        <w:rPr>
          <w:b/>
          <w:lang w:val="es-AR" w:eastAsia="es-AR" w:bidi="es-AR"/>
        </w:rPr>
      </w:pPr>
      <w:r>
        <w:rPr>
          <w:lang w:val="es-AR" w:eastAsia="es-AR" w:bidi="es-AR"/>
        </w:rPr>
        <w:t xml:space="preserve">Se trata de una pretensión ejecutiva integrada por un crédito documentado en un contrato y simultáneamente instrumentado en un pagaré -en este último se capitalizan intereses devengados con base en la relación causal-, existen pagos parciales oblados por la demandada y el objeto del reclamo judicial se proyecta sobre el capital más los intereses.</w:t>
      </w:r>
    </w:p>
    <w:p>
      <w:pPr>
        <w:pStyle w:val="[Normal]"/>
        <w:spacing w:line="360" w:lineRule="auto"/>
        <w:ind w:firstLine="1134"/>
        <w:jc w:val="both"/>
        <w:rPr>
          <w:b/>
          <w:lang w:val="es-AR" w:eastAsia="es-AR" w:bidi="es-AR"/>
        </w:rPr>
      </w:pPr>
      <w:r>
        <w:rPr>
          <w:lang w:val="es-AR" w:eastAsia="es-AR" w:bidi="es-AR"/>
        </w:rPr>
        <w:t xml:space="preserve">Aludí en los precedentes de esta Alzada a que la Corte Provincial, a partir de una lógica integrativa, sostuvo en la causa "Asociación Mutual Asís contra Cubilla, María Ester. Cobro ejecutivo" de fecha 14/08/19, C. 121.684, que correspondía desestimar aquellas soluciones que tiendan a destruir los sistemas que se integran alrededor del pagaré de consumo y, en su lugar, avanzar hacia un verdadero diálogo de las fuentes. Se trata de adoptar un método interpretativo armonizador que, evitando la exclusión de unas normas por otras, posibilite la aplicación simultánea, coherente y coordinada de fuentes legislativas convergentes (JAYME, Erik, "Identitéculturelle et intégratio: le droitinternational privé postmoderne", en Recueil des Tours, 1995, t. 251, p. 136). 	</w:t>
      </w:r>
    </w:p>
    <w:p>
      <w:pPr>
        <w:pStyle w:val="[Normal]"/>
        <w:spacing w:line="360" w:lineRule="auto"/>
        <w:ind w:firstLine="1134"/>
        <w:jc w:val="both"/>
        <w:rPr>
          <w:b/>
          <w:lang w:val="es-AR" w:eastAsia="es-AR" w:bidi="es-AR"/>
        </w:rPr>
      </w:pPr>
      <w:r>
        <w:rPr>
          <w:lang w:val="es-AR" w:eastAsia="es-AR" w:bidi="es-AR"/>
        </w:rPr>
        <w:t xml:space="preserve"> La consecuencia procesal de la adopción de esta tesitura es que si el título valor, autónomamente o integrado, reúne las exigencias del citado art. 36 será pertinente la ejecución en los límites que resulten del negocio base de la relación jurídica. Pero entiéndase bien; lo que se ejecuta es el pagaré como título ejecutivo. El hecho de que el monto que figura en el título de crédito pueda verse eventualmente modificado en función de lo que resulta de los términos informativos del contrato de mutuo en tanto relación causal subyacente, no importa variación del objeto de la ejecución que, desde el punto de vista técnico y formal, sigue siendo el pagaré. </w:t>
      </w:r>
    </w:p>
    <w:p>
      <w:pPr>
        <w:pStyle w:val="[Normal]"/>
        <w:spacing w:line="360" w:lineRule="auto"/>
        <w:ind w:firstLine="1134"/>
        <w:jc w:val="both"/>
        <w:rPr>
          <w:b/>
          <w:lang w:val="es-AR" w:eastAsia="es-AR" w:bidi="es-AR"/>
        </w:rPr>
      </w:pPr>
      <w:r>
        <w:rPr>
          <w:lang w:val="es-AR" w:eastAsia="es-AR" w:bidi="es-AR"/>
        </w:rPr>
        <w:t xml:space="preserve"> Es decir, de acuerdo a la comprensión que emana de la doctrina legal de la Corte provincial, el contrato de mutuo califica como documentación complementaria del pagaré y, en esa medida, puede servir para confirmar, completar, corregir y hasta invalidar al instrumento de crédito en función de la correspondencia y suficiencia informativa que medie entre éste y el contrato de mutuo. Pero, adviértase bien, esta función integradora y complementaria que desempeña el título jurídico causal no altera el objeto del juicio ejecutivo que sigue siendo el pagaré (Cf. MOREA, Adrián Oscar, "El pagaré de consumo como título ejecutivo integrable". Publicado en Temas de Derecho Procesal, Ed. Erreius, Octubre 2019).</w:t>
      </w:r>
    </w:p>
    <w:p>
      <w:pPr>
        <w:pStyle w:val="[Normal]"/>
        <w:spacing w:line="360" w:lineRule="auto"/>
        <w:ind w:firstLine="1134"/>
        <w:jc w:val="both"/>
        <w:rPr>
          <w:b/>
          <w:lang w:val="es-AR" w:eastAsia="es-AR" w:bidi="es-AR"/>
        </w:rPr>
      </w:pPr>
      <w:r>
        <w:rPr>
          <w:lang w:val="es-AR" w:eastAsia="es-AR" w:bidi="es-AR"/>
        </w:rPr>
        <w:t xml:space="preserve">En la especie el objeto del juicio ejecutivo sigue siendo el pagaré, lo que ocurre es que los términos de la reclamación ya no se circunscriben a las estrictos contornos de la cambial, sino que -por imperativo de la legislación consumeril- se completan con el contenido negocial subyacente en el contrato de mutuo, resultando el pagaré de consumo, un</w:t>
      </w:r>
      <w:r>
        <w:rPr>
          <w:i/>
          <w:lang w:val="es-AR" w:eastAsia="es-AR" w:bidi="es-AR"/>
        </w:rPr>
        <w:t xml:space="preserve"> "título ejecutivo integrado"</w:t>
      </w:r>
      <w:r>
        <w:rPr>
          <w:lang w:val="es-AR" w:eastAsia="es-AR" w:bidi="es-AR"/>
        </w:rPr>
        <w:t xml:space="preserve">. </w:t>
      </w:r>
    </w:p>
    <w:p>
      <w:pPr>
        <w:pStyle w:val="[Normal]"/>
        <w:spacing w:line="360" w:lineRule="auto"/>
        <w:ind w:firstLine="1134"/>
        <w:jc w:val="both"/>
        <w:rPr>
          <w:b/>
          <w:lang w:val="es-AR" w:eastAsia="es-AR" w:bidi="es-AR"/>
        </w:rPr>
      </w:pPr>
      <w:r>
        <w:rPr>
          <w:lang w:val="es-AR" w:eastAsia="es-AR" w:bidi="es-AR"/>
        </w:rPr>
        <w:t xml:space="preserve">En ese contexto, respecto a los intereses tanto el contrato de mutuo como el pagaré los contemplan. La diferencia estriba sencillamente en que el contrato de mutuo no liquida la suma resultante de los intereses pactados sino que tan sólo se refiere a las condiciones de financiación, y el pagaré lo hace implícitamente al incluirlos en la suma ejecutable final. Pero ello trasunta una diferencia meramente formal, más no repercute en la extensión material de la deuda, por lo que de ningún modo habilita al Juez de origen a detraer del monto de la ejecución los intereses convenidos y disponer la aplicación de una tasa bancaria -tasa activa Banco Provincia-,como lo hiciera el Sr. Juez a-quo.</w:t>
      </w:r>
    </w:p>
    <w:p>
      <w:pPr>
        <w:pStyle w:val="[Normal]"/>
        <w:spacing w:line="360" w:lineRule="auto"/>
        <w:ind w:firstLine="1134"/>
        <w:jc w:val="both"/>
        <w:rPr>
          <w:b/>
          <w:lang w:val="es-AR" w:eastAsia="es-AR" w:bidi="es-AR"/>
        </w:rPr>
      </w:pPr>
      <w:r>
        <w:rPr>
          <w:lang w:val="es-AR" w:eastAsia="es-AR" w:bidi="es-AR"/>
        </w:rPr>
        <w:t xml:space="preserve">Adunando que en cuanto a la tasa activa bancaria, no encuentro fundamento alguno para su aplicación y considero que la materia intereses y tasa respectiva, debe ser objeto de examen posterior y no cercenar anticipadamente el derecho a evaluar la ausencia o no de abuso al acordarse dicho item en tanto no ha mediado por parte del Juzgador una descalificación de los intereses pactados motivada en una debida fundamentación sino una tacha genérica que no se encuentra precedida del ineludible desarrollo que la sustente, omitiendo brindar toda precisión sobre las tasas en cuestión y su comparación con otros parámetros, de modo de verificar y justificar un carácter abusivo palmario.</w:t>
      </w:r>
    </w:p>
    <w:p>
      <w:pPr>
        <w:pStyle w:val="[Normal]"/>
        <w:spacing w:line="360" w:lineRule="auto"/>
        <w:ind w:firstLine="1134"/>
        <w:jc w:val="both"/>
        <w:rPr>
          <w:b/>
          <w:lang w:val="es-AR" w:eastAsia="es-AR" w:bidi="es-AR"/>
        </w:rPr>
      </w:pPr>
      <w:r>
        <w:rPr>
          <w:lang w:val="es-AR" w:eastAsia="es-AR" w:bidi="es-AR"/>
        </w:rPr>
        <w:t xml:space="preserve">Y en orden a la sentencia de condena, es sabido que no necesariamente ha de precisar la suma nominal debida en forma definitiva, sino que debe prever las bases jurídicas para determinar lo realmente adeudado. Por lo que nada empece que se difiera el control de abusividad de los intereses para el momento de la liquidación, oportunidad en la que el juez podrá determinar los intereses devengados con anterioridad y posterioridad a la sentencia judicial y su carácter de abusivos o no, la procedencia en su caso de anatocismo legal, descontar los pagos parciales realizados conforme a las reglas legales de imputación y, en definitiva, establecer la cantidad final adeudada. </w:t>
      </w:r>
    </w:p>
    <w:p>
      <w:pPr>
        <w:pStyle w:val="[Normal]"/>
        <w:spacing w:line="360" w:lineRule="auto"/>
        <w:ind w:firstLine="1134"/>
        <w:jc w:val="both"/>
        <w:rPr>
          <w:lang w:val="es-AR" w:eastAsia="es-AR" w:bidi="es-AR"/>
        </w:rPr>
      </w:pPr>
      <w:r>
        <w:rPr>
          <w:lang w:val="es-AR" w:eastAsia="es-AR" w:bidi="es-AR"/>
        </w:rPr>
        <w:t xml:space="preserve">En función de lo expuesto, el monto por el que se deberá despachar la ejecución es el del saldo del capital más los intereses convenidos en el contrato, sin perjuicio de que se evaluarán si los mismos son excesivos y contrarios a la moral y las buenas costumbres en el momento de examinar la liquidación, teniendo en cuenta lo que disponen los art. 10, 279, 771, 794 y cc. del Código Civil y Comercial (conf. CAP 4072 Reg. 2/2021 del 4-2-2021).</w:t>
      </w:r>
    </w:p>
    <w:p>
      <w:pPr>
        <w:pStyle w:val="[Normal]"/>
        <w:spacing w:line="360" w:lineRule="auto"/>
        <w:ind w:firstLine="1134"/>
        <w:jc w:val="both"/>
        <w:rPr>
          <w:lang w:val="es-AR" w:eastAsia="es-AR" w:bidi="es-AR"/>
        </w:rPr>
      </w:pPr>
      <w:r>
        <w:rPr>
          <w:lang w:val="es-AR" w:eastAsia="es-AR" w:bidi="es-AR"/>
        </w:rPr>
        <w:t xml:space="preserve">Por último, y si bien no ha de tener incidencia en este acuerdo, no puedo obviar señalar que dado los términos de la decisión en recurso y la circunstancia de que el actor resulta ser el único apelante, la prohibición de la </w:t>
      </w:r>
      <w:r>
        <w:rPr>
          <w:i/>
          <w:lang w:val="es-AR" w:eastAsia="es-AR" w:bidi="es-AR"/>
        </w:rPr>
        <w:t xml:space="preserve">reformatio in pejus </w:t>
      </w:r>
      <w:r>
        <w:rPr>
          <w:lang w:val="es-AR" w:eastAsia="es-AR" w:bidi="es-AR"/>
        </w:rPr>
        <w:t xml:space="preserve">impide abordar el punto relativo al estado de la deuda -líquida o fácilmente liquidable-, en atención a la posibilidad o no de determinación del momento o momentos de los pagos parciales realizados por el demandado.</w:t>
      </w:r>
      <w:r>
        <w:rPr>
          <w:i/>
          <w:lang w:val="es-AR" w:eastAsia="es-AR" w:bidi="es-AR"/>
        </w:rPr>
        <w:t xml:space="preserve"> </w:t>
      </w:r>
      <w:r>
        <w:rPr>
          <w:lang w:val="es-AR" w:eastAsia="es-AR" w:bidi="es-AR"/>
        </w:rPr>
        <w:t xml:space="preserve">T</w:t>
      </w:r>
      <w:r>
        <w:rPr>
          <w:color w:val="000000"/>
          <w:lang w:val="es-AR" w:eastAsia="es-AR" w:bidi="es-AR"/>
        </w:rPr>
        <w:t xml:space="preserve">al como se expresara desde aquí en fallos precedentes, </w:t>
      </w:r>
      <w:r>
        <w:rPr>
          <w:i/>
          <w:color w:val="000000"/>
          <w:lang w:val="es-AR" w:eastAsia="es-AR" w:bidi="es-AR"/>
        </w:rPr>
        <w:t xml:space="preserve">"...el pretenso ejecutante de un título ejecutivo tiene la carga de precisar todas aquellas circunstancias fácticas y jurídicas que resulten condicionantes de los requisitos de viabilidad del cobro ejecutivo. Uno de esos requisitos es el carácter líquido o fácilmente liquidable de la deuda objeto del juicio ejecutivo cuya debida observancia exige que de haber mediado pagos parciales se aclare el tiempo en que hubiesen sido efectuados."</w:t>
      </w:r>
      <w:r>
        <w:rPr>
          <w:color w:val="000000"/>
          <w:lang w:val="es-AR" w:eastAsia="es-AR" w:bidi="es-AR"/>
        </w:rPr>
        <w:t xml:space="preserve"> (causas N° 3971, 4072, ent. ots.).</w:t>
      </w:r>
    </w:p>
    <w:p>
      <w:pPr>
        <w:pStyle w:val="[Normal]"/>
        <w:spacing w:line="360" w:lineRule="auto"/>
        <w:ind w:firstLine="1134"/>
        <w:jc w:val="both"/>
        <w:rPr>
          <w:lang w:val="es-AR" w:eastAsia="es-AR" w:bidi="es-AR"/>
        </w:rPr>
      </w:pPr>
      <w:r>
        <w:rPr>
          <w:lang w:val="es-AR" w:eastAsia="es-AR" w:bidi="es-AR"/>
        </w:rPr>
        <w:t xml:space="preserve">Por las razones dadas, citas legales de referencia y con el alcance indicado,</w:t>
      </w:r>
    </w:p>
    <w:p>
      <w:pPr>
        <w:pStyle w:val="[Normal]"/>
        <w:spacing w:line="360" w:lineRule="auto"/>
        <w:ind w:firstLine="1134"/>
        <w:jc w:val="both"/>
        <w:rPr>
          <w:b/>
          <w:lang w:val="es-AR" w:eastAsia="es-AR" w:bidi="es-AR"/>
        </w:rPr>
      </w:pPr>
      <w:r>
        <w:rPr>
          <w:b/>
          <w:lang w:val="es-AR" w:eastAsia="es-AR" w:bidi="es-AR"/>
        </w:rPr>
        <w:t xml:space="preserve">VOTO POR LA NEGATIVA.</w:t>
      </w:r>
    </w:p>
    <w:p>
      <w:pPr>
        <w:pStyle w:val="[Normal]"/>
        <w:spacing w:line="360" w:lineRule="auto"/>
        <w:ind w:firstLine="1134"/>
        <w:jc w:val="both"/>
        <w:rPr>
          <w:lang w:val="es-AR" w:eastAsia="es-AR" w:bidi="es-AR"/>
        </w:rPr>
      </w:pPr>
      <w:r>
        <w:rPr>
          <w:lang w:val="es-AR" w:eastAsia="es-AR" w:bidi="es-AR"/>
        </w:rPr>
        <w:t xml:space="preserve">A la misma cuestión EL Sr. Juez Bernardo Louise dijo: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line="360" w:lineRule="auto"/>
        <w:ind w:firstLine="1134"/>
        <w:jc w:val="both"/>
        <w:rPr>
          <w:lang w:val="es-AR" w:eastAsia="es-AR" w:bidi="es-AR"/>
        </w:rPr>
      </w:pPr>
      <w:r>
        <w:rPr>
          <w:lang w:val="es-AR" w:eastAsia="es-AR" w:bidi="es-AR"/>
        </w:rPr>
        <w:t xml:space="preserve">He de principiar mi voto recordando como expusiera esta Alzada en numerosos precedentes, los términos en que el Superior provincial ha reconocido</w:t>
      </w:r>
      <w:r>
        <w:rPr>
          <w:lang w:val="es-AR" w:eastAsia="es-AR" w:bidi="es-AR"/>
        </w:rPr>
        <w:t xml:space="preserve"> la vía ejecutiva del llamado " pagaré de consumo " ("Asociación Mutual Asís c/ Cubilla, María Ester. Cobro ejecutivo", del 14/08/19, C. 121.684), señalando que resulta ser un título complejo que se integra entre el título y el instrumento del negocio subyacente, en cumplimiento del art. 36 de la Ley de Consumidor. </w:t>
      </w:r>
    </w:p>
    <w:p>
      <w:pPr>
        <w:pStyle w:val="[Normal]"/>
        <w:spacing w:line="360" w:lineRule="auto"/>
        <w:ind w:firstLine="1134"/>
        <w:jc w:val="both"/>
        <w:rPr>
          <w:lang w:val="es-AR" w:eastAsia="es-AR" w:bidi="es-AR"/>
        </w:rPr>
      </w:pPr>
      <w:r>
        <w:rPr>
          <w:lang w:val="es-AR" w:eastAsia="es-AR" w:bidi="es-AR"/>
        </w:rPr>
        <w:t xml:space="preserve">Pero considero y lo he dicho en reiteradas oportunidades (causas N° 3972, 3885 ent. ots.), que no puede extenderse con carácter de doctrina legal, que en toda ejecución consumeril, dogmáticamente, se ejecute el monto del mutuo y no del pagaré. De ser ello así, no hablaríamos de "pagaré de consumo" y la ejecución se limitaría solamente al contrato de mutuo. Ello dependerá de cada caso particular.</w:t>
      </w:r>
    </w:p>
    <w:p>
      <w:pPr>
        <w:pStyle w:val="[Normal]"/>
        <w:spacing w:line="360" w:lineRule="auto"/>
        <w:ind w:firstLine="1134"/>
        <w:jc w:val="both"/>
        <w:rPr>
          <w:lang w:val="es-AR" w:eastAsia="es-AR" w:bidi="es-AR"/>
        </w:rPr>
      </w:pPr>
      <w:r>
        <w:rPr>
          <w:lang w:val="es-AR" w:eastAsia="es-AR" w:bidi="es-AR"/>
        </w:rPr>
        <w:t xml:space="preserve"> Lo que sí entiendo que puede devenir en doctrina legal, es lo relativo a la decisión del Tribunal de alzada interviniente en "Asis", cuyo fallo fuera confirmado en la SCBA,  que al advertir que el monto del mutuo difería de la suma ejecutada en el pagaré, consideró que habíendose aditado intereses, tal cuestión debía diferirse. </w:t>
      </w:r>
    </w:p>
    <w:p>
      <w:pPr>
        <w:pStyle w:val="[Normal]"/>
        <w:spacing w:line="360" w:lineRule="auto"/>
        <w:ind w:firstLine="1134"/>
        <w:jc w:val="both"/>
        <w:rPr>
          <w:lang w:val="es-AR" w:eastAsia="es-AR" w:bidi="es-AR"/>
        </w:rPr>
      </w:pPr>
      <w:r>
        <w:rPr>
          <w:lang w:val="es-AR" w:eastAsia="es-AR" w:bidi="es-AR"/>
        </w:rPr>
        <w:t xml:space="preserve">Hecha tal aclaración entiendo que en este caso cabe actuar de modo similar. En efecto, del texto de demanda surge claramente que se ejecuta el saldo -$ 54.188,68- de un pagaré de $ 85.749,12 con fecha de vencimiento el 5-1-2019, vinculado a una operación financiera en la que se solicitara en fecha 1-9-2017 un capital de $ 36.028,99 y se convinieran intereses conforme el detalle de las cuotas - veinticuatro (24), mensuales- determinadas en el contrato adjuntado en forma digital, según consta en el sistema Augusta (asiento de fecha 27-9-2019). Que,</w:t>
      </w:r>
      <w:r>
        <w:rPr>
          <w:i/>
          <w:lang w:val="es-AR" w:eastAsia="es-AR" w:bidi="es-AR"/>
        </w:rPr>
        <w:t xml:space="preserve"> "...La mora se produjo el día 05/01/2018, fecha del vencimiento de la obligación, sin que desde entonces la parte demandada, a pesar de haberle sido requerido el pago, haya producido acto alguno con entidad para purgar la mora existente, no habiendo a la fecha de promoción de la presente, cancelado la totalidad de la deuda exigible, por lo que se pide se apliquen los intereses correspondientes. Es de hacer notar que A) El Pagaré nº 18985 fue suscripto por la suma de $ 85749,12  quedando un saldo impago de $ 54188,68 ..."</w:t>
      </w:r>
      <w:r>
        <w:rPr>
          <w:lang w:val="es-AR" w:eastAsia="es-AR" w:bidi="es-AR"/>
        </w:rPr>
        <w:t xml:space="preserve"> ( sic. presentación de inicio ).  </w:t>
      </w:r>
    </w:p>
    <w:p>
      <w:pPr>
        <w:pStyle w:val="[Normal]"/>
        <w:spacing w:line="360" w:lineRule="auto"/>
        <w:ind w:firstLine="1134"/>
        <w:jc w:val="both"/>
        <w:rPr>
          <w:lang w:val="es-AR" w:eastAsia="es-AR" w:bidi="es-AR"/>
        </w:rPr>
      </w:pPr>
      <w:r>
        <w:rPr>
          <w:lang w:val="es-AR" w:eastAsia="es-AR" w:bidi="es-AR"/>
        </w:rPr>
        <w:t xml:space="preserve">Por lo que se pretende ejecutar el saldo de un pagaré, cuya suma es una deuda de capital, más intereses, habiendo mediado pago parcial.</w:t>
      </w:r>
    </w:p>
    <w:p>
      <w:pPr>
        <w:pStyle w:val="[Normal]"/>
        <w:spacing w:line="360" w:lineRule="auto"/>
        <w:ind w:firstLine="1134"/>
        <w:jc w:val="both"/>
        <w:rPr>
          <w:lang w:val="es-AR" w:eastAsia="es-AR" w:bidi="es-AR"/>
        </w:rPr>
      </w:pPr>
      <w:r>
        <w:rPr>
          <w:lang w:val="es-AR" w:eastAsia="es-AR" w:bidi="es-AR"/>
        </w:rPr>
        <w:t xml:space="preserve">Y, dado que el pagaré que se pretende ejecutar al igual que en aquellos autos, difiere del monto del contrato de mutuo al que accede, lo cual indica que el importe consignado en la cartular comprende capital más intereses, corresponde mandar llevar adelante la ejecución por el monto del contrato y posponer el tratamiento de dichos accesorios para la oportunidad pertinente pero no dejar sin efecto los intereses pactados que también forman parte del reclamo, si bien deben estar sujetos al oportuno control jurisdiccional.</w:t>
      </w:r>
    </w:p>
    <w:p>
      <w:pPr>
        <w:pStyle w:val="[Normal]"/>
        <w:spacing w:line="360" w:lineRule="auto"/>
        <w:ind w:firstLine="1134"/>
        <w:jc w:val="both"/>
        <w:rPr>
          <w:lang w:val="es-AR" w:eastAsia="es-AR" w:bidi="es-AR"/>
        </w:rPr>
      </w:pPr>
      <w:r>
        <w:rPr>
          <w:lang w:val="es-AR" w:eastAsia="es-AR" w:bidi="es-AR"/>
        </w:rPr>
        <w:t xml:space="preserve">Así lo dijo nuestro Superior Tribunal Provincial en la causa " Asociación Mutual Asís" que he venido referenciando: </w:t>
      </w:r>
      <w:r>
        <w:rPr>
          <w:i/>
          <w:lang w:val="es-AR" w:eastAsia="es-AR" w:bidi="es-AR"/>
        </w:rPr>
        <w:t xml:space="preserve">"...En el asunto a dirimir, tras inspeccionar el contrato de solicitud de préstamo (mutuo) que complementa al pagaré, la Cámara de Apelación valoró que merced a la integración de ambos documentos se cumplía con el art. 36 de la LDC. Por tal motivo desglosó del reclamo el monto del capital que surgía de dicho contrato y supeditó el pronunciamiento acerca de los intereses -rubro susceptible de revisión en caso de abuso o desproporción, art. 771, Código Civil y Comercial- para la oportunidad del dictado de la sentencia...".</w:t>
      </w:r>
    </w:p>
    <w:p>
      <w:pPr>
        <w:pStyle w:val="[Normal]"/>
        <w:spacing w:line="360" w:lineRule="auto"/>
        <w:ind w:firstLine="1134"/>
        <w:jc w:val="both"/>
        <w:rPr>
          <w:lang w:val="es-AR" w:eastAsia="es-AR" w:bidi="es-AR"/>
        </w:rPr>
      </w:pPr>
      <w:r>
        <w:rPr>
          <w:lang w:val="es-AR" w:eastAsia="es-AR" w:bidi="es-AR"/>
        </w:rPr>
        <w:t xml:space="preserve">Procede entonces la ejecución del monto neto  -en ello coincido con el juzgador primero- y postergar el tema de los intereses para su oportunidad. </w:t>
      </w:r>
    </w:p>
    <w:p>
      <w:pPr>
        <w:pStyle w:val="[Normal]"/>
        <w:spacing w:line="360" w:lineRule="auto"/>
        <w:ind w:firstLine="1134"/>
        <w:jc w:val="both"/>
        <w:rPr>
          <w:lang w:val="es-AR" w:eastAsia="es-AR" w:bidi="es-AR"/>
        </w:rPr>
      </w:pPr>
      <w:r>
        <w:rPr>
          <w:lang w:val="es-AR" w:eastAsia="es-AR" w:bidi="es-AR"/>
        </w:rPr>
        <w:t xml:space="preserve">En cuanto a la tasa activa bancaria, destaco que comparto todo lo expuesto por el Dr. Degleue en orden a la improcedencia de la tasa bancaria establecida por la a-quo, por cuanto</w:t>
      </w:r>
      <w:r>
        <w:rPr>
          <w:b/>
          <w:lang w:val="es-AR" w:eastAsia="es-AR" w:bidi="es-AR"/>
        </w:rPr>
        <w:t xml:space="preserve"> </w:t>
      </w:r>
      <w:r>
        <w:rPr>
          <w:lang w:val="es-AR" w:eastAsia="es-AR" w:bidi="es-AR"/>
        </w:rPr>
        <w:t xml:space="preserve">en materia intereses y tasa respectiva, debe ser objeto de examen posterior y no cercenar anticipadamente el derecho a evaluar la ausencia o no de abuso al acordarse dicho item.  </w:t>
      </w:r>
    </w:p>
    <w:p>
      <w:pPr>
        <w:pStyle w:val="[Normal]"/>
        <w:spacing w:line="360" w:lineRule="auto"/>
        <w:ind w:firstLine="1134"/>
        <w:jc w:val="both"/>
        <w:rPr>
          <w:lang w:val="es-AR" w:eastAsia="es-AR" w:bidi="es-AR"/>
        </w:rPr>
      </w:pPr>
      <w:r>
        <w:rPr>
          <w:lang w:val="es-AR" w:eastAsia="es-AR" w:bidi="es-AR"/>
        </w:rPr>
        <w:t xml:space="preserve">En consecuencia, si los intereses convenidos expresamente por las partes no pueden al presente conceptuarse de excesivos ni por tanto abusivos o contrarios a los principios morales ínsitos en nuestra legislación, una decisión diversa importa infringir, sin justificación suficiente, lo libremente pactado por las partes -efecto vinculante de los contratos y reglas de la autonomía de la voluntad (arts. 959 y 2651 del C.C.C.)- y su interpretación atendiendo a la intención de las partes y la buena fe (art. 1061 C.C.C.).</w:t>
      </w:r>
    </w:p>
    <w:p>
      <w:pPr>
        <w:pStyle w:val="[Normal]"/>
        <w:spacing w:line="360" w:lineRule="auto"/>
        <w:ind w:firstLine="1134"/>
        <w:jc w:val="both"/>
        <w:rPr>
          <w:b/>
          <w:lang w:val="es-AR" w:eastAsia="es-AR" w:bidi="es-AR"/>
        </w:rPr>
      </w:pPr>
      <w:r>
        <w:rPr>
          <w:lang w:val="es-AR" w:eastAsia="es-AR" w:bidi="es-AR"/>
        </w:rPr>
        <w:t xml:space="preserve"> En suma, el monto por el que se ha de despachar la ejecución, es el surgente del contrato de mutuo y en el momento procesal que corresponda, se ha de practicar liquidación de los intereses pactados y deducción de pagos parciales, todo ello sujeto al oportuno control de la jurisdicción y consecuente mérito en orden a si resultaren o no abusivos.</w:t>
      </w:r>
    </w:p>
    <w:p>
      <w:pPr>
        <w:pStyle w:val="[Normal]"/>
        <w:spacing w:line="360" w:lineRule="auto"/>
        <w:ind w:firstLine="1134"/>
        <w:jc w:val="both"/>
        <w:rPr>
          <w:lang w:val="es-AR" w:eastAsia="es-AR" w:bidi="es-AR"/>
        </w:rPr>
      </w:pPr>
      <w:r>
        <w:rPr>
          <w:lang w:val="es-AR" w:eastAsia="es-AR" w:bidi="es-AR"/>
        </w:rPr>
        <w:t xml:space="preserve">A la misma cuestión la Sra. Jueza Graciela Scaraffía por análogos fundamentos votó en igual sentido que el Dr. Roberto Manuel Degleue.</w:t>
      </w:r>
    </w:p>
    <w:p>
      <w:pPr>
        <w:pStyle w:val="[Normal]"/>
        <w:spacing w:line="360" w:lineRule="auto"/>
        <w:ind w:firstLine="1134"/>
        <w:jc w:val="both"/>
        <w:rPr>
          <w:lang w:val="es-AR" w:eastAsia="es-AR" w:bidi="es-AR"/>
        </w:rPr>
      </w:pPr>
      <w:r>
        <w:rPr>
          <w:lang w:val="es-AR" w:eastAsia="es-AR" w:bidi="es-AR"/>
        </w:rPr>
        <w:t xml:space="preserve">A la segunda cuestión el señor Juez, Roberto Manuel Degleue dijo: de conformidad al resultado habido al tratarse la cuestión precedente, estimo que el pronunciamiento que corresponde dictar por mayoría es: </w:t>
      </w:r>
    </w:p>
    <w:p>
      <w:pPr>
        <w:pStyle w:val="[Normal]"/>
        <w:spacing w:line="360" w:lineRule="auto"/>
        <w:ind w:firstLine="1134"/>
        <w:jc w:val="both"/>
        <w:rPr>
          <w:lang w:val="es-AR" w:eastAsia="es-AR" w:bidi="es-AR"/>
        </w:rPr>
      </w:pPr>
      <w:r>
        <w:rPr>
          <w:lang w:val="es-AR" w:eastAsia="es-AR" w:bidi="es-AR"/>
        </w:rPr>
        <w:t xml:space="preserve">Hacer lugar al recurso deducido y en su mérito revocar el decisorio apelado; en consecuencia disponer que se despache la ejecución en los términos aquí expuestos. Sin costas por ausencia de contradicción (art. 68 2° parte del CPCC).</w:t>
      </w:r>
    </w:p>
    <w:p>
      <w:pPr>
        <w:pStyle w:val="[Normal]"/>
        <w:spacing w:line="360" w:lineRule="auto"/>
        <w:ind w:firstLine="1134"/>
        <w:jc w:val="both"/>
        <w:rPr>
          <w:lang w:val="es-AR" w:eastAsia="es-AR" w:bidi="es-AR"/>
        </w:rPr>
      </w:pPr>
      <w:r>
        <w:rPr>
          <w:b/>
          <w:lang w:val="es-AR" w:eastAsia="es-AR" w:bidi="es-AR"/>
        </w:rPr>
        <w:t xml:space="preserve">ASI LO VOTO. </w:t>
      </w:r>
    </w:p>
    <w:p>
      <w:pPr>
        <w:pStyle w:val="[Normal]"/>
        <w:spacing w:line="360" w:lineRule="auto"/>
        <w:ind w:firstLine="1134"/>
        <w:jc w:val="both"/>
        <w:rPr>
          <w:lang w:val="es-AR" w:eastAsia="es-AR" w:bidi="es-AR"/>
        </w:rPr>
      </w:pPr>
      <w:r>
        <w:rPr>
          <w:lang w:val="es-AR" w:eastAsia="es-AR" w:bidi="es-AR"/>
        </w:rPr>
        <w:t xml:space="preserve">A la misma cuestión los Sres. Jueces Bernardo Louise y Graciela Scaraffía  por análogos fundamentos  votaron en el mismo sentido.</w:t>
      </w:r>
    </w:p>
    <w:p>
      <w:pPr>
        <w:pStyle w:val="[Normal]"/>
        <w:spacing w:line="360" w:lineRule="auto"/>
        <w:ind w:firstLine="1134"/>
        <w:jc w:val="both"/>
        <w:rPr>
          <w:lang w:val="es-AR" w:eastAsia="es-AR" w:bidi="es-AR"/>
        </w:rPr>
      </w:pPr>
      <w:r>
        <w:rPr>
          <w:lang w:val="es-AR" w:eastAsia="es-AR" w:bidi="es-AR"/>
        </w:rPr>
        <w:t xml:space="preserve">Con lo que terminó el presente Acuerdo, dictándose la siguiente;</w:t>
      </w:r>
    </w:p>
    <w:p>
      <w:pPr>
        <w:pStyle w:val="[Normal]"/>
        <w:spacing w:line="360" w:lineRule="auto"/>
        <w:ind w:firstLine="1134"/>
        <w:jc w:val="both"/>
        <w:rPr>
          <w:lang w:val="es-AR" w:eastAsia="es-AR" w:bidi="es-AR"/>
        </w:rPr>
      </w:pPr>
      <w:r>
        <w:rPr>
          <w:b/>
          <w:u w:val="single"/>
          <w:lang w:val="es-AR" w:eastAsia="es-AR" w:bidi="es-AR"/>
        </w:rPr>
        <w:t xml:space="preserve">S E N T E N C I A:</w:t>
      </w:r>
    </w:p>
    <w:p>
      <w:pPr>
        <w:pStyle w:val="[Normal]"/>
        <w:spacing w:line="360" w:lineRule="auto"/>
        <w:ind w:firstLine="1134"/>
        <w:jc w:val="both"/>
        <w:rPr>
          <w:lang w:val="es-AR" w:eastAsia="es-AR" w:bidi="es-AR"/>
        </w:rPr>
      </w:pPr>
      <w:r>
        <w:rPr>
          <w:lang w:val="es-AR" w:eastAsia="es-AR" w:bidi="es-AR"/>
        </w:rPr>
        <w:t xml:space="preserve">Hacer lugar al recurso deducido y en su mérito revocar el decisorio apelado; en consecuencia disponer que se despache la ejecución en los términos aquí expuestos. Sin costas por ausencia de contradicción (art. 68 2° parte del CPCC).</w:t>
      </w:r>
    </w:p>
    <w:p>
      <w:pPr>
        <w:pStyle w:val="[Normal]"/>
        <w:spacing w:line="360" w:lineRule="auto"/>
        <w:ind w:firstLine="1134"/>
        <w:jc w:val="both"/>
        <w:rPr>
          <w:color w:val="000000"/>
          <w:lang w:val="es-AR" w:eastAsia="es-AR" w:bidi="es-AR"/>
        </w:rPr>
      </w:pPr>
      <w:r>
        <w:rPr>
          <w:lang w:val="es-AR" w:eastAsia="es-AR" w:bidi="es-AR"/>
        </w:rPr>
        <w:t xml:space="preserve">Regístrese. Notifíquese por Secretaría (Ac. 3845 SCBA) remitiéndose copia digital de la presente sentencia a los domicilios electrónicos de las respectivas partes que se detallan a continuación. Devuélvase.</w:t>
      </w:r>
    </w:p>
    <w:p>
      <w:pPr>
        <w:pStyle w:val="[Normal]"/>
        <w:rPr>
          <w:color w:val="000000"/>
          <w:lang w:val="es-AR" w:eastAsia="es-AR" w:bidi="es-AR"/>
        </w:rPr>
      </w:pPr>
      <w:r>
        <w:rPr>
          <w:noProof/>
          <w:color w:val="000000"/>
          <w:lang w:val="es-AR" w:eastAsia="es-AR" w:bidi="es-AR"/>
        </w:rPr>
        <w:t xml:space="preserve">20322215232@NOTIFICACIONES.SCBA.GOV.AR</w:t>
      </w:r>
    </w:p>
    <w:p>
      <w:pPr>
        <w:pStyle w:val="[Normal]"/>
        <w:rPr>
          <w:color w:val="000000"/>
          <w:lang w:val="es-AR" w:eastAsia="es-AR" w:bidi="es-AR"/>
        </w:rPr>
      </w:pPr>
    </w:p>
    <w:p>
      <w:pPr>
        <w:pStyle w:val="[Normal]"/>
        <w:rPr>
          <w:color w:val="000000"/>
          <w:lang w:val="es-AR" w:eastAsia="es-AR" w:bidi="es-AR"/>
        </w:rPr>
      </w:pPr>
      <w:r>
        <w:rPr>
          <w:color w:val="000000"/>
          <w:lang w:val="es-AR" w:eastAsia="es-AR" w:bidi="es-AR"/>
        </w:rPr>
        <w:t xml:space="preserve"> </w:t>
      </w:r>
    </w:p>
    <w:p>
      <w:pPr>
        <w:pStyle w:val="[Normal]"/>
        <w:rPr>
          <w:color w:val="000000"/>
          <w:lang w:val="es-AR" w:eastAsia="es-AR" w:bidi="es-AR"/>
        </w:rPr>
      </w:pPr>
      <w:r>
        <w:rPr>
          <w:color w:val="000000"/>
          <w:lang w:val="es-AR" w:eastAsia="es-AR" w:bidi="es-AR"/>
        </w:rPr>
        <w:t xml:space="preserve"> </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pPr>
      <w: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u w:val="single"/>
        </w:rPr>
        <w:t xml:space="preserve">REFERENCIAS: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10/08/2021 09:10:35 - SCARAFFIA Graciela Hilda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10/08/2021 09:18:47 - LOUISE Bernardo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10/08/2021 09:31:31 - DEGLEUE Roberto Manuel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10/08/2021 09:33:50 - MARTINEZ Nicolas - SECRETARIO DE CÁMARA</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Domicilio Electrónico: 20322215232@NOTIFICACIONES.SCBA.GOV.AR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336" w:after="336"/>
        <w:rPr>
          <w:rFonts w:ascii="BarCode 128" w:hAnsi="BarCode 128" w:eastAsia="BarCode 128" w:cs="BarCode 128"/>
          <w:sz w:val="60"/>
        </w:rPr>
      </w:pPr>
      <w:r>
        <w:rPr>
          <w:rFonts w:ascii="BarCode 128" w:hAnsi="BarCode 128" w:eastAsia="BarCode 128" w:cs="BarCode 128"/>
          <w:sz w:val="60"/>
        </w:rPr>
        <w:t xml:space="preserve">‰7q")è%1?Z/Š</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12" w:after="112"/>
        <w:rPr>
          <w:sz w:val="20"/>
        </w:rPr>
      </w:pPr>
      <w:r>
        <w:rPr>
          <w:sz w:val="20"/>
        </w:rPr>
        <w:t xml:space="preserve">238102090005173158</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pPr>
      <w: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rPr>
        <w:t xml:space="preserve">CAMARA DE APELACION EN LO CIVIL Y COMERCIAL - PERGAMINO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u w:val="single"/>
        </w:rPr>
        <w:t xml:space="preserve">NO CONTIENE ARCHIVOS ADJUNTOS</w:t>
      </w:r>
    </w:p>
    <w:p>
      <w:pPr>
        <w:pStyle w:val="[Normal]"/>
      </w:pPr>
    </w:p>
    <w:sectPr>
      <w:headerReference w:type="default" r:id="rId00004"/>
      <w:footerReference w:type="default" r:id="rId00005"/>
      <w:pgSz w:w="11907" w:h="16834"/>
      <w:pgMar w:top="3089" w:right="850" w:bottom="1134" w:left="2835" w:header="567" w:footer="567"/>
      <w:pgBorders w:display="allPages" w:offsetFrom="page"/>
    </w:sectPr>
  </w:body>
</w:document>
</file>

<file path=word/fontTable.xml><?xml version="1.0" encoding="utf-8"?>
<w:fonts xmlns:w="http://schemas.openxmlformats.org/wordprocessingml/2006/main">
  <w:font w:name="Arial">
    <w:panose1 w:val="020B0604020202020204"/>
    <w:charset w:val="00"/>
    <w:family w:val="swiss"/>
    <w:pitch w:val="variable"/>
    <w:sig w:usb0="E0002EFF" w:usb1="C000785B" w:usb2="00000009" w:usb3="00000000" w:csb0="400001FF" w:csb1="FFFF0000"/>
  </w:font>
  <w:font w:name="Times New Roman">
    <w:panose1 w:val="02020603050405020304"/>
    <w:charset w:val="00"/>
    <w:family w:val="roman"/>
    <w:pitch w:val="variable"/>
    <w:sig w:usb0="E0002EFF" w:usb1="C000785B" w:usb2="00000009" w:usb3="00000000" w:csb0="400001FF" w:csb1="FFFF0000"/>
  </w:font>
  <w:font w:name="Symbol">
    <w:panose1 w:val="05050102010706020507"/>
    <w:charset w:val="02"/>
    <w:family w:val="roman"/>
    <w:pitch w:val="variable"/>
    <w:sig w:usb0="00000000" w:usb1="00000000" w:usb2="00000000" w:usb3="00000000" w:csb0="80000000" w:csb1="00000000"/>
  </w:font>
  <w:font w:name="BarCode 128">
    <w:charset w:val="00"/>
    <w:family w:val="auto"/>
    <w:pitch w:val="variable"/>
  </w:font>
</w:fonts>
</file>

<file path=word/footer0001.xml><?xml version="1.0" encoding="utf-8"?>
<w:ft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p>
    <w:pPr>
      <w:pStyle w:val="[Normal]"/>
      <w:rPr>
        <w:lang w:val="es-AR" w:eastAsia="es-AR" w:bidi="es-AR"/>
      </w:rPr>
    </w:pPr>
    <w:r>
      <w:rPr>
        <w:lang w:val="es-AR" w:eastAsia="es-AR" w:bidi="es-AR"/>
      </w:rPr>
      <w:t xml:space="preserve"> </w:t>
    </w:r>
    <w:r>
      <w:rPr>
        <w:lang w:val="es-AR" w:eastAsia="es-AR" w:bidi="es-AR"/>
      </w:rPr>
      <w:fldChar w:fldCharType="begin"/>
    </w:r>
    <w:r>
      <w:rPr>
        <w:lang w:val="es-AR" w:eastAsia="es-AR" w:bidi="es-AR"/>
      </w:rPr>
      <w:instrText xml:space="preserve"> PAGE \* Arabic \* MERGEFORMAT </w:instrText>
    </w:r>
    <w:r>
      <w:rPr>
        <w:lang w:val="es-AR" w:eastAsia="es-AR" w:bidi="es-AR"/>
      </w:rPr>
      <w:fldChar w:fldCharType="separate"/>
    </w:r>
    <w:r>
      <w:rPr>
        <w:lang w:val="es-AR" w:eastAsia="es-AR" w:bidi="es-AR"/>
      </w:rPr>
      <w:t xml:space="preserve">1</w:t>
    </w:r>
    <w:r>
      <w:rPr>
        <w:lang w:val="es-AR" w:eastAsia="es-AR" w:bidi="es-AR"/>
      </w:rPr>
      <w:fldChar w:fldCharType="end"/>
    </w:r>
  </w:p>
</w:ftr>
</file>

<file path=word/header0001.xml><?xml version="1.0" encoding="utf-8"?>
<w:hd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p>
    <w:pPr>
      <w:pStyle w:val="[Normal]"/>
      <w:rPr>
        <w:b/>
        <w:color w:val="000000"/>
        <w:sz w:val="20"/>
        <w:lang w:val="es-AR" w:eastAsia="es-AR" w:bidi="es-AR"/>
      </w:rPr>
    </w:pPr>
    <w:r>
      <w:rPr>
        <w:b/>
        <w:color w:val="000000"/>
        <w:sz w:val="20"/>
        <w:lang w:val="es-AR" w:eastAsia="es-AR" w:bidi="es-AR"/>
      </w:rPr>
      <w:t xml:space="preserve">4236 - 21 - CFN S.A.  C/ SOSA PRISCILA ELISABETH S/ COBRO EJECUTIVO</w:t>
    </w:r>
  </w:p>
  <w:p>
    <w:pPr>
      <w:pStyle w:val="[Normal]"/>
      <w:jc w:val="right"/>
      <w:rPr>
        <w:color w:val="000000"/>
        <w:lang w:val="es-AR" w:eastAsia="es-AR" w:bidi="es-AR"/>
      </w:rPr>
    </w:pPr>
    <w:r>
      <w:rPr>
        <w:lang w:val="es-AR" w:eastAsia="es-AR" w:bidi="es-AR"/>
      </w:rPr>
      <w:t xml:space="preserve"> </w:t>
    </w:r>
    <w:r>
      <w:rPr>
        <w:rFonts w:ascii="BarCode 128" w:hAnsi="BarCode 128" w:eastAsia="BarCode 128" w:cs="BarCode 128"/>
        <w:color w:val="000000"/>
        <w:sz w:val="50"/>
        <w:lang w:val="es-AR" w:eastAsia="es-AR" w:bidi="es-AR"/>
      </w:rPr>
      <w:t xml:space="preserve">‰7q")è%1?Z/Š</w:t>
    </w:r>
    <w:r>
      <w:rPr>
        <w:color w:val="000000"/>
        <w:lang w:val="es-AR" w:eastAsia="es-AR" w:bidi="es-AR"/>
      </w:rPr>
      <w:t xml:space="preserve"> </w:t>
    </w:r>
  </w:p>
  <w:p>
    <w:pPr>
      <w:pStyle w:val="[Normal]"/>
      <w:jc w:val="right"/>
      <w:rPr>
        <w:color w:val="000000"/>
        <w:lang w:val="es-AR" w:eastAsia="es-AR" w:bidi="es-AR"/>
      </w:rPr>
    </w:pPr>
    <w:r>
      <w:rPr>
        <w:color w:val="000000"/>
        <w:lang w:val="es-AR" w:eastAsia="es-AR" w:bidi="es-AR"/>
      </w:rPr>
      <w:t xml:space="preserve">238102090005173158</w:t>
    </w:r>
    <w:r>
      <w:rPr>
        <w:color w:val="000000"/>
        <w:lang w:val="es-AR" w:eastAsia="es-AR" w:bidi="es-AR"/>
      </w:rPr>
      <w:t xml:space="preserve"> </w:t>
    </w:r>
  </w:p>
  <w:p>
    <w:pPr>
      <w:pStyle w:val="[Normal]"/>
      <w:rPr>
        <w:color w:val="000000"/>
        <w:lang w:val="es-AR" w:eastAsia="es-AR" w:bidi="es-AR"/>
      </w:rPr>
    </w:pPr>
    <w:r>
      <w:rPr>
        <w:color w:val="000000"/>
        <w:lang w:val="es-AR" w:eastAsia="es-AR" w:bidi="es-AR"/>
      </w:rPr>
      <w:t xml:space="preserve">                   </w:t>
    </w:r>
    <w:r>
      <w:rPr>
        <w:color w:val="000000"/>
        <w:lang w:val="es-AR" w:eastAsia="es-AR" w:bidi="es-AR"/>
      </w:rPr>
      <w:drawing>
        <wp:inline distT="0" distB="0" distL="0" distR="0">
          <wp:extent cx="420370" cy="609600"/>
          <wp:docPr id="1" name="_tx_id_1_"/>
          <a:graphic xmlns:a="http://schemas.openxmlformats.org/drawingml/2006/main">
            <a:graphicData uri="http://schemas.openxmlformats.org/drawingml/2006/picture">
              <pic:pic xmlns:pic="http://schemas.openxmlformats.org/drawingml/2006/picture">
                <pic:nvPicPr>
                  <pic:cNvPr id="0" name="Image 1"/>
                  <pic:cNvPicPr/>
                </pic:nvPicPr>
                <pic:blipFill>
                  <a:blip r:embed="rId00003"/>
                  <a:stretch>
                    <a:fillRect/>
                  </a:stretch>
                </pic:blipFill>
                <pic:spPr>
                  <a:xfrm>
                    <a:off x="0" y="0"/>
                    <a:ext cx="420370" cy="609600"/>
                  </a:xfrm>
                  <a:prstGeom prst="rect">
                    <a:avLst/>
                  </a:prstGeom>
                </pic:spPr>
              </pic:pic>
            </a:graphicData>
          </a:graphic>
        </wp:inline>
      </w:drawing>
    </w:r>
  </w:p>
  <w:p>
    <w:pPr>
      <w:pStyle w:val="[Normal]"/>
      <w:rPr>
        <w:color w:val="000000"/>
        <w:lang w:val="es-AR" w:eastAsia="es-AR" w:bidi="es-AR"/>
      </w:rPr>
    </w:pPr>
    <w:r>
      <w:rPr>
        <w:color w:val="000000"/>
        <w:lang w:val="es-AR" w:eastAsia="es-AR" w:bidi="es-AR"/>
      </w:rPr>
      <w:t xml:space="preserve">PROVINCIA DE BUENOS AIRES</w:t>
    </w:r>
  </w:p>
  <w:p>
    <w:pPr>
      <w:pStyle w:val="[Normal]"/>
      <w:rPr>
        <w:color w:val="000000"/>
        <w:lang w:val="es-AR" w:eastAsia="es-AR" w:bidi="es-AR"/>
      </w:rPr>
    </w:pPr>
    <w:r>
      <w:rPr>
        <w:color w:val="000000"/>
        <w:lang w:val="es-AR" w:eastAsia="es-AR" w:bidi="es-AR"/>
      </w:rPr>
      <w:t xml:space="preserve">              Poder Judicial  </w:t>
    </w:r>
  </w:p>
</w:hdr>
</file>

<file path=word/settings.xml><?xml version="1.0" encoding="utf-8"?>
<w:settings xmlns:w="http://schemas.openxmlformats.org/wordprocessingml/2006/main" xmlns:mc="http://schemas.openxmlformats.org/markup-compatibility/2006" xmlns:tx24="http://schemas.textcontrol.com/tx/2400" xmlns:tx25="http://schemas.textcontrol.com/tx/2500" mc:Ignorable="tx24 tx25">
  <w:bordersDoNotSurroundHeader/>
  <w:bordersDoNotSurroundFooter/>
  <w:defaultTabStop w:val="1134"/>
  <w:compat>
    <w:noExtraLineSpacing/>
  </w:compat>
  <tx24:txVer tx24:val="25.0.323.500"/>
</w:settings>
</file>

<file path=word/styles.xml><?xml version="1.0" encoding="utf-8"?>
<w:styles xmlns:w="http://schemas.openxmlformats.org/wordprocessingml/2006/main">
  <w:docDefaults>
    <w:rPrDefault>
      <w:rPr>
        <w:rFonts w:ascii="Arial"/>
        <w:sz w:val="24"/>
      </w:rPr>
    </w:rPrDefault>
  </w:docDefaults>
  <w:style w:type="paragraph" w:styleId="[Normal]" w:default="1">
    <w:name w:val="[Normal]"/>
    <w:next w:val="[Normal]"/>
    <w:qFormat/>
    <w:pPr>
      <w:widowControl w:val="off"/>
      <w:shd w:val="clear" w:color="auto" w:fill="auto"/>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position w:val="0"/>
      <w:sz w:val="24"/>
      <w:szCs w:val="24"/>
      <w:shd w:val="clear" w:color="auto" w:fill="auto"/>
      <w:rtl w:val="off"/>
      <w:lang w:val="x-none" w:eastAsia="x-none" w:bidi="x-none"/>
    </w:rPr>
  </w:style>
  <w:style w:type="paragraph" w:styleId="BODY">
    <w:name w:val="BODY"/>
    <w:basedOn w:val="[Normal]"/>
    <w:next w:val="BODY"/>
    <w:qFormat/>
    <w:pPr>
      <w:tabs>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pPr>
    <w:rPr/>
  </w:style>
  <w:style w:type="character" w:styleId="B">
    <w:name w:val="B"/>
    <w:qFormat/>
    <w:rPr>
      <w:b/>
      <w:bCs/>
      <w:rtl w:val="off"/>
      <w:lang w:val="x-none" w:eastAsia="x-none" w:bidi="x-none"/>
    </w:rPr>
  </w:style>
  <w:style w:type="character" w:styleId="EM">
    <w:name w:val="EM"/>
    <w:qFormat/>
    <w:rPr>
      <w:i/>
      <w:iCs/>
      <w:rtl w:val="off"/>
      <w:lang w:val="x-none" w:eastAsia="x-none" w:bidi="x-none"/>
    </w:rPr>
  </w:style>
  <w:style w:type="character" w:styleId="U">
    <w:name w:val="U"/>
    <w:qFormat/>
    <w:rPr>
      <w:u w:val="single"/>
      <w:rtl w:val="off"/>
      <w:lang w:val="x-none" w:eastAsia="x-none" w:bidi="x-none"/>
    </w:rPr>
  </w:style>
  <w:style w:type="character" w:styleId="STRONG">
    <w:name w:val="STRONG"/>
    <w:qFormat/>
    <w:rPr>
      <w:b/>
      <w:bCs/>
      <w:rtl w:val="off"/>
      <w:lang w:val="x-none" w:eastAsia="x-none" w:bidi="x-none"/>
    </w:rPr>
  </w:style>
</w:styles>
</file>

<file path=word/_rels/document.xml.rels><?xml version="1.0" encoding="UTF-8" standalone="yes"?><Relationships xmlns="http://schemas.openxmlformats.org/package/2006/relationships">
	<Relationship Id="rId00002" Type="http://schemas.openxmlformats.org/officeDocument/2006/relationships/styles" Target="styles.xml"/>
	<Relationship Id="rId00004" Type="http://schemas.openxmlformats.org/officeDocument/2006/relationships/header" Target="header0001.xml"/>
	<Relationship Id="rId00005" Type="http://schemas.openxmlformats.org/officeDocument/2006/relationships/footer" Target="footer0001.xml"/>
	<Relationship Id="rId00006" Type="http://schemas.openxmlformats.org/officeDocument/2006/relationships/fontTable" Target="fontTable.xml"/>
	<Relationship Id="rId00007" Type="http://schemas.openxmlformats.org/officeDocument/2006/relationships/settings" Target="settings.xml"/>
</Relationships>
</file>

<file path=word/_rels/header0001.xml.rels><?xml version="1.0" encoding="UTF-8" standalone="yes"?><Relationships xmlns="http://schemas.openxmlformats.org/package/2006/relationships">
	<Relationship Id="rId00003" Type="http://schemas.openxmlformats.org/officeDocument/2006/relationships/image" Target="media/image0001.wmf"/>
</Relationships>
</file>