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p>
    <w:p>
      <w:pPr>
        <w:pStyle w:val="[Normal]"/>
        <w:spacing w:line="360" w:lineRule="auto"/>
        <w:jc w:val="both"/>
        <w:rPr>
          <w:lang w:val="es-AR" w:eastAsia="es-AR" w:bidi="es-AR"/>
        </w:rPr>
      </w:pPr>
      <w:r>
        <w:rPr>
          <w:b/>
          <w:lang w:val="es-AR" w:eastAsia="es-AR" w:bidi="es-AR"/>
        </w:rPr>
        <w:t xml:space="preserve">	Registro N° 86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487/491</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4264-21</w:t>
      </w:r>
      <w:r>
        <w:rPr>
          <w:lang w:val="es-AR" w:eastAsia="es-AR" w:bidi="es-AR"/>
        </w:rPr>
        <w:t xml:space="preserve"> caratulada </w:t>
      </w:r>
      <w:r>
        <w:rPr>
          <w:b/>
          <w:lang w:val="es-AR" w:eastAsia="es-AR" w:bidi="es-AR"/>
        </w:rPr>
        <w:t xml:space="preserve">"</w:t>
      </w:r>
      <w:r>
        <w:rPr>
          <w:b/>
          <w:color w:val="000000"/>
          <w:lang w:val="es-AR" w:eastAsia="es-AR" w:bidi="es-AR"/>
        </w:rPr>
        <w:t xml:space="preserve">SACOSKI NORA ELVIA  C/ LUNA EMILIO OMAR S/ EJECUCION DE HONORARIOS DE MEDIACION LEY 13.951</w:t>
      </w:r>
      <w:r>
        <w:rPr>
          <w:b/>
          <w:lang w:val="es-AR" w:eastAsia="es-AR" w:bidi="es-AR"/>
        </w:rPr>
        <w:t xml:space="preserve">"</w:t>
      </w:r>
      <w:r>
        <w:rPr>
          <w:lang w:val="es-AR" w:eastAsia="es-AR" w:bidi="es-AR"/>
        </w:rPr>
        <w:t xml:space="preserve">, Expte. N° 84762 del </w:t>
      </w:r>
      <w:r>
        <w:rPr>
          <w:color w:val="000000"/>
          <w:lang w:val="es-AR" w:eastAsia="es-AR" w:bidi="es-AR"/>
        </w:rPr>
        <w:t xml:space="preserve">Juzgado en lo Civil y Comercial N° 2 </w:t>
      </w:r>
      <w:r>
        <w:rPr>
          <w:lang w:val="es-AR" w:eastAsia="es-AR" w:bidi="es-AR"/>
        </w:rPr>
        <w:t xml:space="preserve">, se practicó el sorteo de ley que determinó que la votación debía efectuarse en el siguiente orden: Dres. Roberto Manuel Degleue, Bernardo Louise y Graciela Scaraffía,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señora Juez de la anterior instancia falló en la presente rechazando la excepción de prescripción opuesta por el demandado y haciendo lugar a la re-adecuación del monto reclamado y fijando entonces el monto de los honorarios de la mediadora, Dra. Nora Elvia Sacoski en la suma de 6 JUS con más aportes de ley, imponiendo las costas en el orden causado. </w:t>
      </w:r>
    </w:p>
    <w:p>
      <w:pPr>
        <w:pStyle w:val="[Normal]"/>
        <w:spacing w:line="360" w:lineRule="auto"/>
        <w:ind w:firstLine="1134"/>
        <w:jc w:val="both"/>
        <w:rPr>
          <w:lang w:val="es-AR" w:eastAsia="es-AR" w:bidi="es-AR"/>
        </w:rPr>
      </w:pPr>
      <w:r>
        <w:rPr>
          <w:lang w:val="es-AR" w:eastAsia="es-AR" w:bidi="es-AR"/>
        </w:rPr>
        <w:t xml:space="preserve">En fecha 4/12/2020 interpuso recurso de apelación en subsidio el demandado, fundado en el acto de su interposición.</w:t>
      </w:r>
    </w:p>
    <w:p>
      <w:pPr>
        <w:pStyle w:val="[Normal]"/>
        <w:spacing w:line="360" w:lineRule="auto"/>
        <w:ind w:firstLine="1134"/>
        <w:jc w:val="both"/>
        <w:rPr>
          <w:lang w:val="es-AR" w:eastAsia="es-AR" w:bidi="es-AR"/>
        </w:rPr>
      </w:pPr>
      <w:r>
        <w:rPr>
          <w:lang w:val="es-AR" w:eastAsia="es-AR" w:bidi="es-AR"/>
        </w:rPr>
        <w:t xml:space="preserve">Principia su queja el apelante agraviándose del rechazo de la excepción de prescripción opuesta, aduciendo para ello la señora Jueza anterior que al tiempo en que sus emolumentos se hicieron exigibles, la mediadora no tenía habilitada la posibilidad de exigir el cobro judicial de los mismos al requirente de la mediación por cuanto éste había promovido proceso de beneficio de litigar sin gastos.</w:t>
      </w:r>
    </w:p>
    <w:p>
      <w:pPr>
        <w:pStyle w:val="[Normal]"/>
        <w:spacing w:line="360" w:lineRule="auto"/>
        <w:ind w:firstLine="1134"/>
        <w:jc w:val="both"/>
        <w:rPr>
          <w:lang w:val="es-AR" w:eastAsia="es-AR" w:bidi="es-AR"/>
        </w:rPr>
      </w:pPr>
      <w:r>
        <w:rPr>
          <w:lang w:val="es-AR" w:eastAsia="es-AR" w:bidi="es-AR"/>
        </w:rPr>
        <w:t xml:space="preserve">Advierte que dicho razonamiento es erróneo y contrario a derecho, ya que el beneficio iniciado por el demandado nunca fue impedimento para que la mediadora iniciara el proceso para reclamar sus estipendios contra quien considerara obligado y asimismo, de considerarse que lo era, la actora instó la caducidad de dicho beneficio tardíamente y ya estando prescripta su acción, situación que no habilita dispensa de prescripción alguna, que  tampoco fue pedida por la actora, cuando hubiese sido carga hacerlo expresamente, siendo  introducida ilegítimamente por la sentenciante, lo que conlleva ello a que se deba acoger favorablemente la excepción planteada oportunamente.</w:t>
      </w:r>
    </w:p>
    <w:p>
      <w:pPr>
        <w:pStyle w:val="[Normal]"/>
        <w:spacing w:line="360" w:lineRule="auto"/>
        <w:ind w:firstLine="1134"/>
        <w:jc w:val="both"/>
        <w:rPr>
          <w:lang w:val="es-AR" w:eastAsia="es-AR" w:bidi="es-AR"/>
        </w:rPr>
      </w:pPr>
      <w:r>
        <w:rPr>
          <w:lang w:val="es-AR" w:eastAsia="es-AR" w:bidi="es-AR"/>
        </w:rPr>
        <w:t xml:space="preserve"> Se agravia a continuación de lo resuelto respecto de la habilidad del título fundante -acta de cierre de la mediación- considerando que es título suficiente para iniciar la ejecución de honorarios del mediador, surgiendo de ella misma los requisitos. Afirma que sin fundamento legal alguno, la juez de grado resolvió el pedido de nulidad del acta de cierre de mediación introducido por el demandado, en el que se explicitaron las falencias del instrumento en cuestión que habilitan la nulidad de dicho instrumento.</w:t>
      </w:r>
    </w:p>
    <w:p>
      <w:pPr>
        <w:pStyle w:val="[Normal]"/>
        <w:spacing w:line="360" w:lineRule="auto"/>
        <w:ind w:firstLine="1134"/>
        <w:jc w:val="both"/>
        <w:rPr>
          <w:lang w:val="es-AR" w:eastAsia="es-AR" w:bidi="es-AR"/>
        </w:rPr>
      </w:pPr>
      <w:r>
        <w:rPr>
          <w:lang w:val="es-AR" w:eastAsia="es-AR" w:bidi="es-AR"/>
        </w:rPr>
        <w:t xml:space="preserve">Sostiene que en las mediaciones, salvo pacto en contrario, una vez finalizada, las partes deberán satisfacer los honorarios del mediador y en el supuesto que no sean abonados en ese momento, deberá dejarse establecido en el acta monto, lugar; fecha de pago -que no podrá extenderse más allá de treinta (30) días corridos, y que dicho requisito, esencial, no fue cumplido por la mediadora.</w:t>
      </w:r>
    </w:p>
    <w:p>
      <w:pPr>
        <w:pStyle w:val="[Normal]"/>
        <w:spacing w:line="360" w:lineRule="auto"/>
        <w:ind w:firstLine="1134"/>
        <w:jc w:val="both"/>
        <w:rPr>
          <w:lang w:val="es-AR" w:eastAsia="es-AR" w:bidi="es-AR"/>
        </w:rPr>
      </w:pPr>
      <w:r>
        <w:rPr>
          <w:lang w:val="es-AR" w:eastAsia="es-AR" w:bidi="es-AR"/>
        </w:rPr>
        <w:t xml:space="preserve">Se queja finalmente del monto de los honorarios fijados, cifra que resulta desproporcionada en relación al monto del convenio reconocido en autos. </w:t>
      </w:r>
    </w:p>
    <w:p>
      <w:pPr>
        <w:pStyle w:val="[Normal]"/>
        <w:spacing w:line="360" w:lineRule="auto"/>
        <w:ind w:firstLine="1134"/>
        <w:jc w:val="both"/>
        <w:rPr>
          <w:lang w:val="es-AR" w:eastAsia="es-AR" w:bidi="es-AR"/>
        </w:rPr>
      </w:pPr>
      <w:r>
        <w:rPr>
          <w:lang w:val="es-AR" w:eastAsia="es-AR" w:bidi="es-AR"/>
        </w:rPr>
        <w:t xml:space="preserve">Solicita, en el caso que la acción prospere, se proceda a re-adecuar el monto de estipendios, en relación al convenio de $10.000 de capital percibidos por el demandado y a los honorarios percibidos por los letrados de las partes.</w:t>
      </w:r>
    </w:p>
    <w:p>
      <w:pPr>
        <w:pStyle w:val="[Normal]"/>
        <w:spacing w:line="360" w:lineRule="auto"/>
        <w:ind w:firstLine="1134"/>
        <w:jc w:val="both"/>
        <w:rPr>
          <w:lang w:val="es-AR" w:eastAsia="es-AR" w:bidi="es-AR"/>
        </w:rPr>
      </w:pPr>
      <w:r>
        <w:rPr>
          <w:lang w:val="es-AR" w:eastAsia="es-AR" w:bidi="es-AR"/>
        </w:rPr>
        <w:t xml:space="preserve">Efectúa reserva del Caso Federal y se haga lugar a lo peticionado en el recurso.</w:t>
      </w:r>
    </w:p>
    <w:p>
      <w:pPr>
        <w:pStyle w:val="[Normal]"/>
        <w:spacing w:line="360" w:lineRule="auto"/>
        <w:ind w:firstLine="1134"/>
        <w:jc w:val="both"/>
        <w:rPr>
          <w:lang w:val="es-AR" w:eastAsia="es-AR" w:bidi="es-AR"/>
        </w:rPr>
      </w:pPr>
      <w:r>
        <w:rPr>
          <w:lang w:val="es-AR" w:eastAsia="es-AR" w:bidi="es-AR"/>
        </w:rPr>
        <w:t xml:space="preserve">Conferido el traslado pertinente, quedó incontestado por la actora, a quien se dio por perdido el derecho dejado de usar.</w:t>
      </w:r>
    </w:p>
    <w:p>
      <w:pPr>
        <w:pStyle w:val="[Normal]"/>
        <w:spacing w:line="360" w:lineRule="auto"/>
        <w:ind w:firstLine="1134"/>
        <w:jc w:val="both"/>
        <w:rPr>
          <w:lang w:val="es-AR" w:eastAsia="es-AR" w:bidi="es-AR"/>
        </w:rPr>
      </w:pPr>
      <w:r>
        <w:rPr>
          <w:lang w:val="es-AR" w:eastAsia="es-AR" w:bidi="es-AR"/>
        </w:rPr>
        <w:t xml:space="preserve">En fecha 11/5/2021 se dictó llamamiento de autos, que habiendo adquirido firmeza, deja la causa en condiciones de ser fallada.</w:t>
      </w:r>
    </w:p>
    <w:p>
      <w:pPr>
        <w:pStyle w:val="[Normal]"/>
        <w:spacing w:line="360" w:lineRule="auto"/>
        <w:ind w:firstLine="1134"/>
        <w:jc w:val="both"/>
        <w:rPr>
          <w:lang w:val="es-AR" w:eastAsia="es-AR" w:bidi="es-AR"/>
        </w:rPr>
      </w:pPr>
      <w:r>
        <w:rPr>
          <w:lang w:val="es-AR" w:eastAsia="es-AR" w:bidi="es-AR"/>
        </w:rPr>
        <w:t xml:space="preserve">En relación al primer agravio relativo al rechazo de la excepción de prescripción, resulta conveniente reconsiderar el funcionamiento de ciertas reglas básicas que rigen el instituto de la prescripción a fin de poder efectuar un diagnóstico preciso de la cuestión controvertida y, sobre esa base, elaborar una solución coherente con los hechos acreditados en la causa y el régimen jurídico aplicable a esta figura.</w:t>
      </w:r>
    </w:p>
    <w:p>
      <w:pPr>
        <w:pStyle w:val="[Normal]"/>
        <w:spacing w:line="360" w:lineRule="auto"/>
        <w:ind w:firstLine="1134"/>
        <w:jc w:val="both"/>
        <w:rPr>
          <w:lang w:val="es-AR" w:eastAsia="es-AR" w:bidi="es-AR"/>
        </w:rPr>
      </w:pPr>
      <w:r>
        <w:rPr>
          <w:lang w:val="es-AR" w:eastAsia="es-AR" w:bidi="es-AR"/>
        </w:rPr>
        <w:t xml:space="preserve">Sobre esta tónica, es menester recordar que para que el curso de la prescripción comience a correr es necesario que el derecho exista y sea exigible.	</w:t>
        <w:br w:type="textWrapping"/>
      </w:r>
      <w:r>
        <w:rPr>
          <w:lang w:val="es-AR" w:eastAsia="es-AR" w:bidi="es-AR"/>
        </w:rPr>
        <w:t xml:space="preserve"> 	La prescripción sólo se computa desde el día en que nace la acción, expresión que es tomada aquí en sentido sustancial o impropio. Se quiere con ello significar que aunque el derecho exista, la prescripción no corre si no está abierta y expedita la facultad de demandarlo ante los organismos jurisdiccionales del Estado. De allí el adagio latino tanto veces repetido por la Corte Nacional “actionis nondum natae non prasecributur”: la acción que aún no ha nacido no se prescribe ( CSJN, 29 / 2 /68, LL, 131-211; ídem, 4 / 5 /95, JA, 1995 -III- 504; SCBA, 6/9/94, 1995 - I- 556).</w:t>
        <w:br w:type="textWrapping"/>
      </w:r>
      <w:r>
        <w:rPr>
          <w:lang w:val="es-AR" w:eastAsia="es-AR" w:bidi="es-AR"/>
        </w:rPr>
        <w:t xml:space="preserve"> 	Como bien señala Planiol</w:t>
      </w:r>
      <w:r>
        <w:rPr>
          <w:i/>
          <w:lang w:val="es-AR" w:eastAsia="es-AR" w:bidi="es-AR"/>
        </w:rPr>
        <w:t xml:space="preserve">, “la prescripción no puede comenzar antes, porque el tiempo dado para la prescribir debe ser un tiempo útil para el ejercicio de la acción, y no puede reprocharse al acreedor, de no haber accionado en una época en que su derecho no estaba expedito. Si así no fuera, podría suceder que el derecho quedara perdido antes de poder ser reclamado: lo que sería tan injusto como absurdo”</w:t>
      </w:r>
      <w:r>
        <w:rPr>
          <w:lang w:val="es-AR" w:eastAsia="es-AR" w:bidi="es-AR"/>
        </w:rPr>
        <w:t xml:space="preserve">. (Planiol, Marcel – Ripert, Georges, Tratado práctico de derecho civil francés, trad. De Mario Díaz Cruz, Cultural, La Habana, 1946).	</w:t>
        <w:br w:type="textWrapping"/>
      </w:r>
      <w:r>
        <w:rPr>
          <w:lang w:val="es-AR" w:eastAsia="es-AR" w:bidi="es-AR"/>
        </w:rPr>
        <w:t xml:space="preserve"> 	Si bien el Código de Vélez -fuente aplicable en función de la fecha de nacimiento del crédito por honorarios- no consagra expresamente dicho principio, el mismo puede ser inferido de la totalidad del plexo normativo. Por ejemplo, el art. 3957 establece que la prescripción de la acción de los créditos a plazo </w:t>
      </w:r>
      <w:r>
        <w:rPr>
          <w:i/>
          <w:lang w:val="es-AR" w:eastAsia="es-AR" w:bidi="es-AR"/>
        </w:rPr>
        <w:t xml:space="preserve">“no principia sino desde el día (…) del vencimiento del término”</w:t>
      </w:r>
      <w:r>
        <w:rPr>
          <w:lang w:val="es-AR" w:eastAsia="es-AR" w:bidi="es-AR"/>
        </w:rPr>
        <w:t xml:space="preserve">; el art. 3956 dispone que tratándose de obligaciones sujetas a condición suspensiva, el curso de la prescripción no comienza a correr sino desde el momento en que opere su cumplimiento; el art. 3953 relativo a los derechos eventuales estatuye que los derechos que no pueden reclamarse sino en calidad de heredero o donatario de bienes futuros no son prescriptibles sino desde la apertura de la sucesión sobre la cual deben ejercerse. En fin, se trata de una variedad meramente enunciativa de aplicaciones normativas concretas cuyo denominador común y lógico no es otro que el de subordinar el inicio del cómputo del plazo prescriptivo a la existencia y exigibilidad (entendida como posibilidad de reclamación expedita) de la acción judicial.	</w:t>
        <w:br w:type="textWrapping"/>
      </w:r>
      <w:r>
        <w:rPr>
          <w:lang w:val="es-AR" w:eastAsia="es-AR" w:bidi="es-AR"/>
        </w:rPr>
        <w:t xml:space="preserve"> 	Asimismo, doctrina y jurisprudencia coinciden pacíficamente en reconocer que la prescripción liberatoria es inseparable de la acción como derecho exigible y expedito, en condiciones de ser ejercitado de manera efectiva. Al respecto, la Corte Suprema de Justicia de la Nación ha dicho: </w:t>
      </w:r>
      <w:r>
        <w:rPr>
          <w:i/>
          <w:lang w:val="es-AR" w:eastAsia="es-AR" w:bidi="es-AR"/>
        </w:rPr>
        <w:t xml:space="preserve">“El punto de partida de la prescripción debe ubicarse en el momento a partir del cual la responsabilidad existe y ha nacido la consiguiente acción para hacerla valer o, en otros términos, desde que la acción quedó expedita</w:t>
      </w:r>
      <w:r>
        <w:rPr>
          <w:lang w:val="es-AR" w:eastAsia="es-AR" w:bidi="es-AR"/>
        </w:rPr>
        <w:t xml:space="preserve">” (ver CSJN-Fallos, 186:36, 23/12/76, ED., 71-463; y Pizarro, Ramón Daniel y Vallespinos, Carlos Gustavo, Instituciones de Derecho Civil, Tomo 3, Buenos Aires, Ed. Hammurabi, 2007, pag. 693).	</w:t>
        <w:br w:type="textWrapping"/>
      </w:r>
      <w:r>
        <w:rPr>
          <w:lang w:val="es-AR" w:eastAsia="es-AR" w:bidi="es-AR"/>
        </w:rPr>
        <w:t xml:space="preserve"> 	En la especie, podemos constatar que la parte demandada inició el beneficio de litigar sin gastos con fecha 20/8/2013 en causa caratulada: </w:t>
      </w:r>
      <w:r>
        <w:rPr>
          <w:i/>
          <w:lang w:val="es-AR" w:eastAsia="es-AR" w:bidi="es-AR"/>
        </w:rPr>
        <w:t xml:space="preserve">“Luna Emilio Omar C/ Vissani Georgina Sofia Y Otro /A S/ Beneficio De Litigar Sin Gastos”, expte</w:t>
      </w:r>
      <w:r>
        <w:rPr>
          <w:lang w:val="es-AR" w:eastAsia="es-AR" w:bidi="es-AR"/>
        </w:rPr>
        <w:t xml:space="preserve">. n°  53.209</w:t>
      </w:r>
      <w:r>
        <w:rPr>
          <w:i/>
          <w:lang w:val="es-AR" w:eastAsia="es-AR" w:bidi="es-AR"/>
        </w:rPr>
        <w:t xml:space="preserve"> </w:t>
      </w:r>
      <w:r>
        <w:rPr>
          <w:lang w:val="es-AR" w:eastAsia="es-AR" w:bidi="es-AR"/>
        </w:rPr>
        <w:t xml:space="preserve">por ante el Juzgado Civil y Comercial n° 3 y que, a su vez, el procedimiento de mediación tuvo lugar entre el 22/8/2013 (fecha de inicio) y el 10/9/2013 (fecha de cierre). A partir de tal constatación, es dable concluir que cuando comenzó la intervención de la mediadora el beneficio de litigar sin gastos ya había sido promovido judicialmente. </w:t>
      </w:r>
    </w:p>
    <w:p>
      <w:pPr>
        <w:pStyle w:val="[Normal]"/>
        <w:spacing w:line="360" w:lineRule="auto"/>
        <w:ind w:firstLine="1134"/>
        <w:jc w:val="both"/>
        <w:rPr>
          <w:lang w:val="es-AR" w:eastAsia="es-AR" w:bidi="es-AR"/>
        </w:rPr>
      </w:pPr>
      <w:r>
        <w:rPr>
          <w:lang w:val="es-AR" w:eastAsia="es-AR" w:bidi="es-AR"/>
        </w:rPr>
        <w:t xml:space="preserve">Y siendo que la promoción judicial del beneficio de litigar sin gastos provoca la exención provisional de las costas y gastos del juicio hasta que se dicte la resolución que se pronuncia sobre la concesión o rechazo definitivo del mismo (art. 83 del CPCCBA), podemos afirmar sin hesitación alguna que el plazo prescriptivo no comenzó a correr sino hasta la notificación de la resolución judicial de fecha 29/8/2019 dictada en la causa n° 53.209 que declaró extinguido el proceso por caducidad y, por ende, privó de eficacia al beneficio provisional hasta entonces pendiente.	</w:t>
        <w:br w:type="textWrapping"/>
      </w:r>
      <w:r>
        <w:rPr>
          <w:lang w:val="es-AR" w:eastAsia="es-AR" w:bidi="es-AR"/>
        </w:rPr>
        <w:t xml:space="preserve"> 	En respaldo de esta tesitura, se ha dicho que: </w:t>
      </w:r>
      <w:r>
        <w:rPr>
          <w:i/>
          <w:lang w:val="es-AR" w:eastAsia="es-AR" w:bidi="es-AR"/>
        </w:rPr>
        <w:t xml:space="preserve">“La exención provisional comprende las costas, dentro de las cuales se encuentran los honorarios de los profesionales intervinientes, tanto en las actuaciones principales como en el incidente mismo donde se ventila el beneficio. Lo cual autoriza a sostener que los créditos que responden a tales conceptos carecen de exigibilidad con relación al beneficiario, sujeto a la condición suspensiva del rechazo del beneficio”</w:t>
      </w:r>
      <w:r>
        <w:rPr>
          <w:lang w:val="es-AR" w:eastAsia="es-AR" w:bidi="es-AR"/>
        </w:rPr>
        <w:t xml:space="preserve"> (C.Civ. y Com. Trenque Lauquen, 16/9/2008, “Establecimiento El Carmen Sociedad de Hecho de Edgardo Néstor Zoppi y José María Zoppi v. Sanchez, Manuel s/ consignación de arrendamiento”).	</w:t>
        <w:br w:type="textWrapping"/>
      </w:r>
      <w:r>
        <w:rPr>
          <w:lang w:val="es-AR" w:eastAsia="es-AR" w:bidi="es-AR"/>
        </w:rPr>
        <w:t xml:space="preserve"> 	Como corolario lógico del razonamiento expuesto precedentemente, cabe afirmar que si bien los créditos por honorarios de la parte actora nacieron entre el 22/8/2013  y el 10/9/2013 toda vez que en ese lapso temporal tuvieron lugar sus intervenciones profesionales (tal criterio es coherente con el sostenido por la SCBA en la causa “Morcillo” afirmando que: </w:t>
      </w:r>
      <w:r>
        <w:rPr>
          <w:i/>
          <w:lang w:val="es-AR" w:eastAsia="es-AR" w:bidi="es-AR"/>
        </w:rPr>
        <w:t xml:space="preserve">“..la regulación de honorarios de los abogados deben efectuarse según las pautas establecidas por la norma vigente en el momento en que fueron realizados los trabajos"</w:t>
      </w:r>
      <w:r>
        <w:rPr>
          <w:lang w:val="es-AR" w:eastAsia="es-AR" w:bidi="es-AR"/>
        </w:rPr>
        <w:t xml:space="preserve">  -SCBA c. I73.016, "Morcillo", resol. de 8-XI-2017-), dichos emolumentos se volvieron exigibles recién con fecha 29/8/2019. Ello se debe a que en dicha fecha el proceso del beneficio de litigar sin gastos se tuvo por extinguido judicialmente, cesaron los efectos impeditivos del beneficio provisional y, en consecuencia, el crédito por honorarios profesionales adquirió exigibilidad.	</w:t>
        <w:br w:type="textWrapping"/>
      </w:r>
      <w:r>
        <w:rPr>
          <w:lang w:val="es-AR" w:eastAsia="es-AR" w:bidi="es-AR"/>
        </w:rPr>
        <w:t xml:space="preserve"> 	Técnicamente, no estamos ante un supuesto de dispensa de la prescripción, sino más bien frente un diferimiento o postergación del término inicial de cómputo de la prescripción atento al desfasaje temporal acaecido entre el momento de nacimiento de la obligación estipendial y el momento de adquisición de exigibilidad de la misma como consecuencia de la exención temporaria operada por el beneficio provisional. </w:t>
      </w:r>
    </w:p>
    <w:p>
      <w:pPr>
        <w:pStyle w:val="[Normal]"/>
        <w:spacing w:line="360" w:lineRule="auto"/>
        <w:ind w:firstLine="1134"/>
        <w:jc w:val="both"/>
        <w:rPr>
          <w:lang w:val="es-AR" w:eastAsia="es-AR" w:bidi="es-AR"/>
        </w:rPr>
      </w:pPr>
      <w:r>
        <w:rPr>
          <w:lang w:val="es-AR" w:eastAsia="es-AR" w:bidi="es-AR"/>
        </w:rPr>
        <w:t xml:space="preserve">La dispensa, en cambio, presupone una prescripción ya cumplida de cuyas consecuencias extintivas se pretende eximir el titular del derecho. En este sentido, la Corte Provincial bonaerense ha sostenido que: </w:t>
      </w:r>
      <w:r>
        <w:rPr>
          <w:i/>
          <w:lang w:val="es-AR" w:eastAsia="es-AR" w:bidi="es-AR"/>
        </w:rPr>
        <w:t xml:space="preserve">“Lo preceptuado en el art. 3980 del Código Civil, tiene por objeto dispensar la prescripción cumplida durante la existencia de circunstancias que impidieran al acreedor -o al propietario- ejercer su derecho subjetivo de raigambre constitucional de requerir la tutela judicial. </w:t>
      </w:r>
      <w:r>
        <w:rPr>
          <w:b/>
          <w:i/>
          <w:lang w:val="es-AR" w:eastAsia="es-AR" w:bidi="es-AR"/>
        </w:rPr>
        <w:t xml:space="preserve">Al no cumplirse la prescripción mientras duró tal obstáculo, el instituto de la dispensa no es de aplicación, no teniendo por lo demás relevancia jurídica el tiempo que el impedimento duró, pues no opera como suspensión del plazo prescriptivo”</w:t>
      </w:r>
      <w:r>
        <w:rPr>
          <w:b/>
          <w:lang w:val="es-AR" w:eastAsia="es-AR" w:bidi="es-AR"/>
        </w:rPr>
        <w:t xml:space="preserve"> </w:t>
      </w:r>
      <w:r>
        <w:rPr>
          <w:lang w:val="es-AR" w:eastAsia="es-AR" w:bidi="es-AR"/>
        </w:rPr>
        <w:t xml:space="preserve">–el resaltado me pertenece-</w:t>
      </w:r>
      <w:r>
        <w:rPr>
          <w:b/>
          <w:lang w:val="es-AR" w:eastAsia="es-AR" w:bidi="es-AR"/>
        </w:rPr>
        <w:t xml:space="preserve"> </w:t>
      </w:r>
      <w:r>
        <w:rPr>
          <w:lang w:val="es-AR" w:eastAsia="es-AR" w:bidi="es-AR"/>
        </w:rPr>
        <w:t xml:space="preserve">(SCBA, “Dirección General Impositiva s/Incidente de verificación de crédito en Acerboni, Raúl s/ concurso preventivo”, 02/03/2011, LP C 95735 S).	</w:t>
        <w:br w:type="textWrapping"/>
      </w:r>
      <w:r>
        <w:rPr>
          <w:lang w:val="es-AR" w:eastAsia="es-AR" w:bidi="es-AR"/>
        </w:rPr>
        <w:t xml:space="preserve"> 	Este diferente encuadramiento normativo de la cuestión resulta plenamente válido y se halla dentro de los límites de la congruencia de primer y segundo grado, toda vez que no altera la plataforma fáctica acreditada en la causa y se limita a calificar la relación jurídica sustancial conforme a su preciso sentido y alcance. Al respecto, se ha dicho que: </w:t>
      </w:r>
      <w:r>
        <w:rPr>
          <w:i/>
          <w:lang w:val="es-AR" w:eastAsia="es-AR" w:bidi="es-AR"/>
        </w:rPr>
        <w:t xml:space="preserve">“El Juez de Alzada puede modificar el encuadre normativo practicado en la sentencia de primera instancia pues nada impide que el mismo por imperio del brocardio ´iura novit curia´ ejerza en libertad su facultad de elegir la norma en que se ha de subsumir la concreta situación de hecho, desde que no se encuentra vinculado por el derecho que invoquen los litigantes, ni por el que apliquen los Jueces en las decisiones que le llegan en revisión”</w:t>
      </w:r>
      <w:r>
        <w:rPr>
          <w:lang w:val="es-AR" w:eastAsia="es-AR" w:bidi="es-AR"/>
        </w:rPr>
        <w:t xml:space="preserve"> (TC0002 LP 25835 RSD-931-6 S, </w:t>
      </w:r>
      <w:r>
        <w:rPr>
          <w:i/>
          <w:lang w:val="es-AR" w:eastAsia="es-AR" w:bidi="es-AR"/>
        </w:rPr>
        <w:t xml:space="preserve">”Q. ,M. E. s/Habeas Corpus”</w:t>
      </w:r>
      <w:r>
        <w:rPr>
          <w:lang w:val="es-AR" w:eastAsia="es-AR" w:bidi="es-AR"/>
        </w:rPr>
        <w:t xml:space="preserve">,  21/12/2006 Juez MANCINI).	</w:t>
        <w:br w:type="textWrapping"/>
      </w:r>
      <w:r>
        <w:rPr>
          <w:lang w:val="es-AR" w:eastAsia="es-AR" w:bidi="es-AR"/>
        </w:rPr>
        <w:t xml:space="preserve"> 	Ello así, los argumentos esgrimidos por el apelante respecto a la improcedencia de la dispensa (falta de pedimento de la dispensa de prescripción, aplicación de oficio, carácter restrictivo del instituto), resultan desplazados como consecuencia de la calificación jurídica desde aquí propiciada y la imposibilidad lógica y jurídica de extenderlos por analogía a la situación de autos. 	</w:t>
        <w:br w:type="textWrapping"/>
      </w:r>
      <w:r>
        <w:rPr>
          <w:lang w:val="es-AR" w:eastAsia="es-AR" w:bidi="es-AR"/>
        </w:rPr>
        <w:t xml:space="preserve"> 	Tampoco asume relevancia la objeción formulada por la parte apelante en punto a que la actora instó la caducidad de dicho beneficio tardíamente, atento a que –como he dicho ut supra- para que el cómputo de la prescripción se inicie es condición sine qua non que el derecho exista y sea exigible, siendo insuficiente la mera posibilidad de que éste se vuelva exigible si mediase una conducta procesal determinada por parte del titular activo de la relación jurídica obligatoria.	</w:t>
        <w:br w:type="textWrapping"/>
      </w:r>
      <w:r>
        <w:rPr>
          <w:lang w:val="es-AR" w:eastAsia="es-AR" w:bidi="es-AR"/>
        </w:rPr>
        <w:t xml:space="preserve"> 	Respecto al segundo agravio relativo a la habilidad del título fundante, comparto los fundamentos esgrimidos por la Jueza de Primera Instancia en tanto advierto que el acta de mediación cumple con todos los requisitos necesarios para erigirse en título hábil de la presente ejecución de honorarios profesionales. Al respecto, esta Alzada ya ha convalidado la posibilidad de confirmar un fallo apelado por los mismos fundamentos que fueran vertidos por el Juez de origen (ver causa n°3931, resolución del 28/08/2020).	</w:t>
        <w:br w:type="textWrapping"/>
      </w:r>
      <w:r>
        <w:rPr>
          <w:lang w:val="es-AR" w:eastAsia="es-AR" w:bidi="es-AR"/>
        </w:rPr>
        <w:t xml:space="preserve"> 	A mayor abundamiento, he de agregar que el art. 31 del Decreto 43/2019 de la ley 13.951 exige la indicación del monto, el lugar y la fecha de pago como recaudos informativos del acta de mediación únicamente para el supuesto en que la instancia compositoria haya concluido con acuerdo. Empero, ello no es lo que ha acontecido en la especie, toda vez que del propio instrumento como de la posterior iniciación del proceso se desprende que la controversia no pudo ser dirimida mediante el procedimiento prejudicial de referencia.	</w:t>
        <w:br w:type="textWrapping"/>
      </w:r>
      <w:r>
        <w:rPr>
          <w:lang w:val="es-AR" w:eastAsia="es-AR" w:bidi="es-AR"/>
        </w:rPr>
        <w:t xml:space="preserve"> 	Finalmente, respecto al agravio conforme al cual se reputasen los honorarios reconocidos al mediador como excesivos, no comparto lo afirmado por el apelante, toda vez que el monto regulado resulta de la aplicación normativa del art. 27 inc. 3 del decreto reglamentario 2530, el valor del JUS considerado por la Juez de origen se halla anclado al momento histórico y la cifra no deviene excesiva conforme la realidad económica actual.</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Dres. Bernardo Louise y Graciela Scaraffía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interpuesto por el letrado recurrente, confirmando en un todo la resolución de grado.</w:t>
      </w:r>
    </w:p>
    <w:p>
      <w:pPr>
        <w:pStyle w:val="[Normal]"/>
        <w:spacing w:line="360" w:lineRule="auto"/>
        <w:ind w:firstLine="1134"/>
        <w:jc w:val="both"/>
        <w:rPr>
          <w:lang w:val="es-AR" w:eastAsia="es-AR" w:bidi="es-AR"/>
        </w:rPr>
      </w:pPr>
      <w:r>
        <w:rPr>
          <w:lang w:val="es-AR" w:eastAsia="es-AR" w:bidi="es-AR"/>
        </w:rPr>
        <w:t xml:space="preserve">Sin costas por no mediar contradicción (art. 68/69 del CPCCBA).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Dres. Bernardo Louise y Graciela Scaraffía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interpuesto por el letrado recurrente, confirmando en un todo la resolución de grado.</w:t>
      </w:r>
    </w:p>
    <w:p>
      <w:pPr>
        <w:pStyle w:val="[Normal]"/>
        <w:spacing w:line="360" w:lineRule="auto"/>
        <w:ind w:firstLine="1134"/>
        <w:jc w:val="both"/>
        <w:rPr>
          <w:lang w:val="es-AR" w:eastAsia="es-AR" w:bidi="es-AR"/>
        </w:rPr>
      </w:pPr>
      <w:r>
        <w:rPr>
          <w:lang w:val="es-AR" w:eastAsia="es-AR" w:bidi="es-AR"/>
        </w:rPr>
        <w:t xml:space="preserve">Sin costas por no mediar contradicción (art. 68/69 del CPCCBA).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jc w:val="both"/>
        <w:rPr>
          <w:color w:val="000000"/>
          <w:lang w:val="es-AR" w:eastAsia="es-AR" w:bidi="es-AR"/>
        </w:rPr>
      </w:pPr>
      <w:r>
        <w:rPr>
          <w:noProof/>
          <w:color w:val="000000"/>
          <w:lang w:val="es-AR" w:eastAsia="es-AR" w:bidi="es-AR"/>
        </w:rPr>
        <w:t xml:space="preserve">23313641449@NOTIFICACIONES.SCBA.GOV.AR</w:t>
      </w:r>
    </w:p>
    <w:p>
      <w:pPr>
        <w:pStyle w:val="[Normal]"/>
        <w:spacing w:line="360" w:lineRule="auto"/>
        <w:jc w:val="both"/>
        <w:rPr>
          <w:color w:val="000000"/>
          <w:lang w:val="es-AR" w:eastAsia="es-AR" w:bidi="es-AR"/>
        </w:rPr>
      </w:pPr>
      <w:r>
        <w:rPr>
          <w:noProof/>
          <w:color w:val="000000"/>
          <w:lang w:val="es-AR" w:eastAsia="es-AR" w:bidi="es-AR"/>
        </w:rPr>
        <w:t xml:space="preserve">27139442240@NOTIFICACIONES.SCBA.GOV.AR</w:t>
      </w:r>
    </w:p>
    <w:p>
      <w:pPr>
        <w:pStyle w:val="[Normal]"/>
        <w:spacing w:line="360" w:lineRule="auto"/>
        <w:jc w:val="both"/>
        <w:rPr>
          <w:color w:val="000000"/>
          <w:lang w:val="es-AR" w:eastAsia="es-AR" w:bidi="es-AR"/>
        </w:rPr>
      </w:pPr>
    </w:p>
    <w:p>
      <w:pPr>
        <w:pStyle w:val="[Normal]"/>
        <w:spacing w:line="360" w:lineRule="auto"/>
        <w:jc w:val="both"/>
        <w:rPr>
          <w:color w:val="000000"/>
          <w:lang w:val="es-AR" w:eastAsia="es-AR" w:bidi="es-AR"/>
        </w:rPr>
      </w:pPr>
    </w:p>
    <w:p>
      <w:pPr>
        <w:pStyle w:val="[Normal]"/>
        <w:spacing w:line="360" w:lineRule="auto"/>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05/08/2021 09:25:08 -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05/08/2021 09:37:19 -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05/08/2021 10:06:44 -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05/08/2021 10:29:21 - MOREA Adrian Oscar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23313641449@NOTIFICACIONES.SCBA.GOV.AR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27139442240@NOTIFICACIONES.SCBA.GOV.AR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‰9T")è%3wÁJŠ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255202090005198796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4264 - 21 - SACOSKI NORA ELVIA  C/ LUNA EMILIO OMAR S/ EJECUCION DE HONORARIOS DE MEDIACION LEY 13.951</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‰9T")è%3wÁJŠ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255202090005198796</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