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87 /</w:t>
      </w:r>
      <w:r>
        <w:rPr>
          <w:b/>
          <w:color w:val="000000"/>
          <w:lang w:val="es-AR" w:eastAsia="es-AR" w:bidi="es-AR"/>
        </w:rPr>
        <w:t xml:space="preserve">2021</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Folio 492/494</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4280-21</w:t>
      </w:r>
      <w:r>
        <w:rPr>
          <w:lang w:val="es-AR" w:eastAsia="es-AR" w:bidi="es-AR"/>
        </w:rPr>
        <w:t xml:space="preserve"> caratulada </w:t>
      </w:r>
      <w:r>
        <w:rPr>
          <w:b/>
          <w:lang w:val="es-AR" w:eastAsia="es-AR" w:bidi="es-AR"/>
        </w:rPr>
        <w:t xml:space="preserve">"</w:t>
      </w:r>
      <w:r>
        <w:rPr>
          <w:b/>
          <w:color w:val="000000"/>
          <w:lang w:val="es-AR" w:eastAsia="es-AR" w:bidi="es-AR"/>
        </w:rPr>
        <w:t xml:space="preserve">DODDI EDUARDO OSCAR C/ BCO DE LA PCIA DE BS AS  S/ EJECUCION HONORARIOS</w:t>
      </w:r>
      <w:r>
        <w:rPr>
          <w:b/>
          <w:lang w:val="es-AR" w:eastAsia="es-AR" w:bidi="es-AR"/>
        </w:rPr>
        <w:t xml:space="preserve">"</w:t>
      </w:r>
      <w:r>
        <w:rPr>
          <w:lang w:val="es-AR" w:eastAsia="es-AR" w:bidi="es-AR"/>
        </w:rPr>
        <w:t xml:space="preserve">, Expte. N° 75441 del </w:t>
      </w:r>
      <w:r>
        <w:rPr>
          <w:color w:val="000000"/>
          <w:lang w:val="es-AR" w:eastAsia="es-AR" w:bidi="es-AR"/>
        </w:rPr>
        <w:t xml:space="preserve">Juzgado en lo Civil y Comercial N° 1</w:t>
      </w:r>
      <w:r>
        <w:rPr>
          <w:lang w:val="es-AR" w:eastAsia="es-AR" w:bidi="es-AR"/>
        </w:rPr>
        <w:t xml:space="preserve">, se practicó el sorteo de ley que determinó que la votación debía efectuarse en el siguiente orden: Roberto Manuel Degleue, Bernardo Louise, Graciela Scaraffia, y estudiados los autos se resolvió  plantear y votar las siguientes: </w:t>
      </w:r>
    </w:p>
    <w:p>
      <w:pPr>
        <w:pStyle w:val="[Normal]"/>
        <w:spacing w:line="360" w:lineRule="auto"/>
        <w:ind w:firstLine="1134"/>
        <w:jc w:val="both"/>
        <w:rPr>
          <w:lang w:val="es-AR" w:eastAsia="es-AR" w:bidi="es-AR"/>
        </w:rPr>
      </w:pPr>
      <w:r>
        <w:rPr>
          <w:b/>
          <w:u w:val="single"/>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Manuel Degleue dijo:</w:t>
      </w:r>
    </w:p>
    <w:p>
      <w:pPr>
        <w:pStyle w:val="[Normal]"/>
        <w:spacing w:line="360" w:lineRule="auto"/>
        <w:ind w:firstLine="1134"/>
        <w:jc w:val="both"/>
        <w:rPr>
          <w:lang w:val="es-AR" w:eastAsia="es-AR" w:bidi="es-AR"/>
        </w:rPr>
      </w:pPr>
      <w:r>
        <w:rPr>
          <w:lang w:val="es-AR" w:eastAsia="es-AR" w:bidi="es-AR"/>
        </w:rPr>
        <w:t xml:space="preserve">El señor Juez de la instancia primera rechazó la excepción de inhabilidad de título opuesta por la ejecutada, y mandó llevar adelante la ejecución de honorarios, hasta tanto el ejecutado BANCO DE LA PROVINCIA DE BUENOS AIRES haga al actor Dr. DODDI EDUARDO OSCAR , íntegro pago del capital reclamado de PESOS SIETE MIL SEISCIENTOS CON 0/100 ($7.600), con más los intereses. Con costas de la ejecución (art. 68 y 556 del CPC). Aplicó las costas de la presente al ejecutado por resultar vencido (art. 556, 68 y 69 del C.P.C.). Difirió la regulación de honorarios de los profesionales intervinientes, hasta tanto obre en autos liquidación firme. </w:t>
      </w:r>
    </w:p>
    <w:p>
      <w:pPr>
        <w:pStyle w:val="[Normal]"/>
        <w:spacing w:line="360" w:lineRule="auto"/>
        <w:ind w:firstLine="1134"/>
        <w:jc w:val="both"/>
        <w:rPr>
          <w:lang w:val="es-AR" w:eastAsia="es-AR" w:bidi="es-AR"/>
        </w:rPr>
      </w:pPr>
      <w:r>
        <w:rPr>
          <w:lang w:val="es-AR" w:eastAsia="es-AR" w:bidi="es-AR"/>
        </w:rPr>
        <w:t xml:space="preserve">Disconforme con lo decidido apela el apoderado de la demandada el 17/05/2021, recurso concedido en relación, y conferido el traslado pertinente a la actora, es evacuado espontáneamente el 29/05/2021.</w:t>
      </w:r>
    </w:p>
    <w:p>
      <w:pPr>
        <w:pStyle w:val="[Normal]"/>
        <w:spacing w:line="360" w:lineRule="auto"/>
        <w:ind w:firstLine="1134"/>
        <w:jc w:val="both"/>
        <w:rPr>
          <w:lang w:val="es-AR" w:eastAsia="es-AR" w:bidi="es-AR"/>
        </w:rPr>
      </w:pPr>
      <w:r>
        <w:rPr>
          <w:lang w:val="es-AR" w:eastAsia="es-AR" w:bidi="es-AR"/>
        </w:rPr>
        <w:t xml:space="preserve">En sustento de su crítica recursiva, se alzan dos argumentos fundamentales dentro de los cuales pueden encausarse los diferentes aspectos de la disconformidad expresada. El primero vinculado a la exigibilidad del crédito por falta de notificación. En tal sentido, el recurrente aduce que </w:t>
      </w:r>
      <w:r>
        <w:rPr>
          <w:lang w:val="es-AR" w:eastAsia="es-AR" w:bidi="es-AR"/>
        </w:rPr>
        <w:t xml:space="preserve">si bien el profesional considera que puede dirigir su acción de cobro contra su cliente (el Banco que representa) no condenado en costas, de acuerdo con la sistemática debería esperar que haya transcurrido el plazo legal o judicial fijado al efecto al deudor principal. Razona que a partir de allí su acción no queda procesalmente expedita, toda vez que debe manifestar en el expediente que ante la falta de pago del obligado directo, endereza su reclamo contra su cliente, circunstancia ésta que tiene que serle notificada en forma al deudor subsidiario. Y que no se encuentra cumplimentada.</w:t>
      </w:r>
    </w:p>
    <w:p>
      <w:pPr>
        <w:pStyle w:val="[Normal]"/>
        <w:spacing w:line="360" w:lineRule="auto"/>
        <w:ind w:firstLine="1134"/>
        <w:jc w:val="both"/>
        <w:rPr>
          <w:lang w:val="es-AR" w:eastAsia="es-AR" w:bidi="es-AR"/>
        </w:rPr>
      </w:pPr>
      <w:r>
        <w:rPr>
          <w:lang w:val="es-AR" w:eastAsia="es-AR" w:bidi="es-AR"/>
        </w:rPr>
        <w:t xml:space="preserve">El segundo argumento se relaciona con el carácter solidario de la obligación estipendial. Sobre este aspecto, argumenta que los letrados y procuradores que trabajan para su cliente con sueldo o asignación fija, periódica, por un monto global o en relación de dependencia, no pueden reclamar que éste se haga cargo en forma subsidiaria de su honorario cuando el contrario condenado en costas no lo abona.	</w:t>
        <w:br w:type="textWrapping"/>
      </w:r>
      <w:r>
        <w:rPr>
          <w:lang w:val="es-AR" w:eastAsia="es-AR" w:bidi="es-AR"/>
        </w:rPr>
        <w:t xml:space="preserve"> 	</w:t>
      </w:r>
      <w:r>
        <w:rPr>
          <w:lang w:val="es-AR" w:eastAsia="es-AR" w:bidi="es-AR"/>
        </w:rPr>
        <w:t xml:space="preserve">Elevados los autos virtualmente a esta Alzada, el 22/06/2021 se llama  a autos para resolver, providencia que hallándose firme, deja la causa en condiciones de ser fallada.	</w:t>
        <w:br w:type="textWrapping"/>
      </w:r>
      <w:r>
        <w:rPr>
          <w:lang w:val="es-AR" w:eastAsia="es-AR" w:bidi="es-AR"/>
        </w:rPr>
        <w:t xml:space="preserve"> 	Entrando a resolver, he de señalar en punto a la objeción relativa a la falta de notificación del auto regulatorio que la misma no puede prosperar, toda vez que con la interposición del recurso de apelación contra el auto regulatorio de fecha 26/3/2019 el recurrente quedó tácitamente notificado por cuanto el mismo acto resulta demostrativo de la puesta en conocimiento de la regulación estipendial sin que resulte menester otro recaudo condicionante de la exigibilidad del crédito profesional contra el demandado, máxime cuando a la fecha de la notificación expresa del auto regulatorio mediaba coincidencia entre el domicilio procesal y real de la entidad, lo que priva de asidero a la defensa intentada por el Banco en el sentido de que no habría sido anoticiado de la obligación impuesta.</w:t>
      </w:r>
    </w:p>
    <w:p>
      <w:pPr>
        <w:pStyle w:val="[Normal]"/>
        <w:spacing w:line="360" w:lineRule="auto"/>
        <w:ind w:firstLine="1134"/>
        <w:jc w:val="both"/>
        <w:rPr>
          <w:color w:val="000000"/>
          <w:shd w:val="clear" w:color="auto" w:fill="FFFFFF"/>
          <w:lang w:val="es-AR" w:eastAsia="es-AR" w:bidi="es-AR"/>
        </w:rPr>
      </w:pPr>
      <w:r>
        <w:rPr>
          <w:lang w:val="es-AR" w:eastAsia="es-AR" w:bidi="es-AR"/>
        </w:rPr>
        <w:t xml:space="preserve">Al respecto, he de coincidir con el a quo en que los </w:t>
      </w:r>
      <w:r>
        <w:rPr>
          <w:color w:val="000000"/>
          <w:shd w:val="clear" w:color="auto" w:fill="FFFFFF"/>
          <w:lang w:val="es-AR" w:eastAsia="es-AR" w:bidi="es-AR"/>
        </w:rPr>
        <w:t xml:space="preserve">obligados principales han sido debidamente notificados y, a raíz de ello, quedaron constituidos en mora conforme a lo dispuesto en el art. 54 de la Ley. Y que al haber apelado el apoderado del Banco Provincia de Buenos Aires la regulación de honorarios dictada con fecha 26-03-2019 a favor del Dr. Doddi, se infiere de ello que la entidad bancaria tomó conocimiento de dicha regulación de honorarios y, en consecuencia, quedó abierta la vía ejecutiva.</w:t>
      </w:r>
    </w:p>
    <w:p>
      <w:pPr>
        <w:pStyle w:val="[Normal]"/>
        <w:spacing w:line="360" w:lineRule="auto"/>
        <w:ind w:firstLine="1134"/>
        <w:jc w:val="both"/>
        <w:rPr>
          <w:i/>
          <w:lang w:val="es-AR" w:eastAsia="es-AR" w:bidi="es-AR"/>
        </w:rPr>
      </w:pPr>
      <w:r>
        <w:rPr>
          <w:lang w:val="es-AR" w:eastAsia="es-AR" w:bidi="es-AR"/>
        </w:rPr>
        <w:t xml:space="preserve">En cuanto a la agravio basado en la imposibilidad jurídica de los abogados del Banco para reclamar honorarios contra su cliente, he de reiterar en la presente causa el criterio oportunamente expuesto en los precedentes N° 2830 del 28/03/2017 Reg. N° 37/2017, N° 2841 del 11/04/2017 Reg. N° 43/2017, N° 3737 del 12/3/2020 Reg. 36/2020, entre otros, pues poseen características análogas al citado.	</w:t>
        <w:br w:type="textWrapping"/>
      </w:r>
      <w:r>
        <w:rPr>
          <w:lang w:val="es-AR" w:eastAsia="es-AR" w:bidi="es-AR"/>
        </w:rPr>
        <w:t xml:space="preserve"> 	</w:t>
      </w:r>
      <w:r>
        <w:rPr>
          <w:i/>
          <w:lang w:val="es-AR" w:eastAsia="es-AR" w:bidi="es-AR"/>
        </w:rPr>
        <w:t xml:space="preserve">"Así, reseñados los antecedentes del recurso traído, el art. 1º de la Resolución Nº 1315/95 del Banco de la Provincia de Buenos Aires en lo pertinente dispone que "...en los juicios en los que el Banco es o fuere parte, los honorarios devengados por cualquier concepto por la actuación de profesionales en relación de dependencia corresponden a la Institución....". Ahora bien, reiteradamente ha decidido este Tribunal, que dicha normativa resulta operativa en la relación jurídica existente entre el Banco y su letrado a partir de su vigencia (22/6/95). Así, en casos como el presente, en que existe actividad del letrado desarrollada con anterioridad a ello, la retribución de esa labor no se ve alcanzada por dicha norma, desde que no puede tener efecto retroactivo, alterando el derecho adquirido por el profesional, con anterioridad a su dictado (art. 3 CC, art. 7° CCyC; causas N°1464-12 RSD 319/12, N°1491/12 RSD 58/13, 2775 RSD 30/17, C-2569 RSI 10/98, C-3393 RSI 13/00;C 3680 RSI 261/00, C 4639/02 RSI 1/03).</w:t>
      </w:r>
    </w:p>
    <w:p>
      <w:pPr>
        <w:pStyle w:val="[Normal]"/>
        <w:spacing w:line="360" w:lineRule="auto"/>
        <w:ind w:firstLine="1134"/>
        <w:jc w:val="both"/>
        <w:rPr>
          <w:i/>
          <w:lang w:val="es-AR" w:eastAsia="es-AR" w:bidi="es-AR"/>
        </w:rPr>
      </w:pPr>
      <w:r>
        <w:rPr>
          <w:i/>
          <w:lang w:val="es-AR" w:eastAsia="es-AR" w:bidi="es-AR"/>
        </w:rPr>
        <w:t xml:space="preserve">Y ello entiendo que no se contrapone con la doctrina de la Corte provincial que cita el apelante, en cuanto a que los abogados que representan al Banco cumplen una función pública cuyos deberes vienen impuestos por el correspondiente estatuto o reglamento y cada reforma a los mismos, cambia la situación jurídica de los agentes incluídos en ese ámbito normativo general, a cuyas pautas se encuentran sometidos. Pero como dijera, considero que tal modificación afectará en adelante, la vinculación del agente público con la entidad, en su calidad de representante letrado.</w:t>
      </w:r>
    </w:p>
    <w:p>
      <w:pPr>
        <w:pStyle w:val="[Normal]"/>
        <w:spacing w:line="360" w:lineRule="auto"/>
        <w:ind w:firstLine="1134"/>
        <w:jc w:val="both"/>
        <w:rPr>
          <w:i/>
          <w:lang w:val="es-AR" w:eastAsia="es-AR" w:bidi="es-AR"/>
        </w:rPr>
      </w:pPr>
      <w:r>
        <w:rPr>
          <w:i/>
          <w:lang w:val="es-AR" w:eastAsia="es-AR" w:bidi="es-AR"/>
        </w:rPr>
        <w:t xml:space="preserve">Consecuentemente, las sumas establecidas como emolumentos por trabajos anteriores a la vigencia de la Resolución 1315/95, son de propiedad del profesional quien tiene derecho a su percepción de conformidad a la ley 8904 de Aranceles para Abogados y Procuradores.</w:t>
      </w:r>
    </w:p>
    <w:p>
      <w:pPr>
        <w:pStyle w:val="[Normal]"/>
        <w:spacing w:line="360" w:lineRule="auto"/>
        <w:ind w:firstLine="1134"/>
        <w:jc w:val="both"/>
        <w:rPr>
          <w:color w:val="000000"/>
          <w:lang w:val="es-AR" w:eastAsia="es-AR" w:bidi="es-AR"/>
        </w:rPr>
      </w:pPr>
      <w:r>
        <w:rPr>
          <w:i/>
          <w:lang w:val="es-AR" w:eastAsia="es-AR" w:bidi="es-AR"/>
        </w:rPr>
        <w:t xml:space="preserve">No se establecen costas en esta instancia por cuanto "El procedimiento de regulación de honorarios no constituye juicio contradictorio de índole tal que genere costas por lo que el recurso deducido en aquel y los respectivos trabajos de Alzada no devengan honorarios" (confr. esta Cámara causas C-6245 RSI 3 del 6-2-08; Nº 1291 RSI 10 del 7/2/14, ent. ots.)."	</w:t>
      </w:r>
      <w:r>
        <w:rPr>
          <w:lang w:val="es-AR" w:eastAsia="es-AR" w:bidi="es-AR"/>
        </w:rPr>
        <w:br w:type="textWrapping"/>
      </w:r>
      <w:r>
        <w:rPr>
          <w:lang w:val="es-AR" w:eastAsia="es-AR" w:bidi="es-AR"/>
        </w:rPr>
        <w:t xml:space="preserve"> 	En síntesis, </w:t>
      </w:r>
      <w:r>
        <w:rPr>
          <w:color w:val="000000"/>
          <w:shd w:val="clear" w:color="auto" w:fill="FFFFFF"/>
          <w:lang w:val="es-AR" w:eastAsia="es-AR" w:bidi="es-AR"/>
        </w:rPr>
        <w:t xml:space="preserve">el letrado -ex apoderado de la ejecutada-, Dr. Eduardo Doddi, asumió la representación en juicio, por lo tanto entre el abogado y el Banco existía una relación contractual que se rige por las reglas del mandato; y la remuneración debe corresponderse con el trabajo realizado y con las disposiciones arancelarias pertinentes. Las normas administrativas internas entre el Banco y el letrado apoderado no pueden alterar, en tal sentido, la lógica de las instituciones de derecho común, por lo que no puede discutirse ni desconocerse la legitimatio ad causam del ejecutado. En virtud de lo expuesto, la resolución atacada en cuanto declara al demandado como solidariamente responsable por el pago de los honorarios regulados a favor del ejecutante, deviene conforme a derecho (Art. 58 de la Ley 8904).</w:t>
      </w:r>
      <w:r>
        <w:rPr>
          <w:lang w:val="es-AR" w:eastAsia="es-AR" w:bidi="es-AR"/>
        </w:rPr>
        <w:t xml:space="preserve">            	                          				 	</w:t>
      </w:r>
      <w:r>
        <w:rPr>
          <w:color w:val="000000"/>
          <w:lang w:val="es-AR" w:eastAsia="es-AR" w:bidi="es-AR"/>
        </w:rPr>
        <w:t xml:space="preserve">Por las razones dadas, citas legales de referencia y con el alcance indicado,</w:t>
      </w:r>
    </w:p>
    <w:p>
      <w:pPr>
        <w:pStyle w:val="[Normal]"/>
        <w:spacing w:line="360" w:lineRule="auto"/>
        <w:ind w:firstLine="1134"/>
        <w:jc w:val="both"/>
        <w:rPr>
          <w:color w:val="000000"/>
          <w:lang w:val="es-AR" w:eastAsia="es-AR" w:bidi="es-AR"/>
        </w:rPr>
      </w:pPr>
      <w:r>
        <w:rPr>
          <w:b/>
          <w:color w:val="000000"/>
          <w:lang w:val="es-AR" w:eastAsia="es-AR" w:bidi="es-AR"/>
        </w:rPr>
        <w:t xml:space="preserve">VOTO POR LA AFIRMATIVA.-</w:t>
      </w:r>
    </w:p>
    <w:p>
      <w:pPr>
        <w:pStyle w:val="[Normal]"/>
        <w:spacing w:line="360" w:lineRule="auto"/>
        <w:ind w:firstLine="1134"/>
        <w:jc w:val="both"/>
        <w:rPr>
          <w:color w:val="000000"/>
          <w:lang w:val="es-AR" w:eastAsia="es-AR" w:bidi="es-AR"/>
        </w:rPr>
      </w:pPr>
      <w:r>
        <w:rPr>
          <w:color w:val="000000"/>
          <w:lang w:val="es-AR" w:eastAsia="es-AR" w:bidi="es-AR"/>
        </w:rPr>
        <w:t xml:space="preserve">A la misma cuestión los Sres. Jueces Bernardo Louise y Graciela Scaraffía por análogos fundamentos votaron en el mismo sentido.-</w:t>
      </w:r>
    </w:p>
    <w:p>
      <w:pPr>
        <w:pStyle w:val="[Normal]"/>
        <w:spacing w:line="360" w:lineRule="auto"/>
        <w:ind w:firstLine="1134"/>
        <w:jc w:val="both"/>
        <w:rPr>
          <w:color w:val="000000"/>
          <w:lang w:val="es-AR" w:eastAsia="es-AR" w:bidi="es-AR"/>
        </w:rPr>
      </w:pPr>
      <w:r>
        <w:rPr>
          <w:color w:val="000000"/>
          <w:lang w:val="es-AR" w:eastAsia="es-AR" w:bidi="es-AR"/>
        </w:rPr>
        <w:t xml:space="preserve">A la </w:t>
      </w:r>
      <w:r>
        <w:rPr>
          <w:b/>
          <w:color w:val="000000"/>
          <w:lang w:val="es-AR" w:eastAsia="es-AR" w:bidi="es-AR"/>
        </w:rPr>
        <w:t xml:space="preserve">segunda cuestión</w:t>
      </w:r>
      <w:r>
        <w:rPr>
          <w:color w:val="000000"/>
          <w:lang w:val="es-AR" w:eastAsia="es-AR" w:bidi="es-AR"/>
        </w:rPr>
        <w:t xml:space="preserve"> el Sr. Juez Roberto Degleue</w:t>
      </w:r>
      <w:r>
        <w:rPr>
          <w:b/>
          <w:color w:val="000000"/>
          <w:lang w:val="es-AR" w:eastAsia="es-AR" w:bidi="es-AR"/>
        </w:rPr>
        <w:t xml:space="preserve"> </w:t>
      </w:r>
      <w:r>
        <w:rPr>
          <w:color w:val="000000"/>
          <w:lang w:val="es-AR" w:eastAsia="es-AR" w:bidi="es-AR"/>
        </w:rPr>
        <w:t xml:space="preserve">dijo:</w:t>
      </w:r>
    </w:p>
    <w:p>
      <w:pPr>
        <w:pStyle w:val="[Normal]"/>
        <w:spacing w:line="360" w:lineRule="auto"/>
        <w:ind w:firstLine="1134"/>
        <w:jc w:val="both"/>
        <w:rPr>
          <w:color w:val="000000"/>
          <w:lang w:val="es-AR" w:eastAsia="es-AR" w:bidi="es-AR"/>
        </w:rPr>
      </w:pPr>
      <w:r>
        <w:rPr>
          <w:color w:val="000000"/>
          <w:lang w:val="es-AR" w:eastAsia="es-AR" w:bidi="es-AR"/>
        </w:rPr>
        <w:t xml:space="preserve">De conformidad al resultado habido al tratarse la cuestión precedente, estimo que el  pronunciamiento que corresponde dictar es: </w:t>
      </w:r>
    </w:p>
    <w:p>
      <w:pPr>
        <w:pStyle w:val="[Normal]"/>
        <w:spacing w:line="360" w:lineRule="auto"/>
        <w:ind w:firstLine="1134"/>
        <w:jc w:val="both"/>
        <w:rPr>
          <w:color w:val="000000"/>
          <w:lang w:val="es-AR" w:eastAsia="es-AR" w:bidi="es-AR"/>
        </w:rPr>
      </w:pPr>
      <w:r>
        <w:rPr>
          <w:color w:val="000000"/>
          <w:lang w:val="es-AR" w:eastAsia="es-AR" w:bidi="es-AR"/>
        </w:rPr>
        <w:t xml:space="preserve">Rechazar el recurso de apelación deducido, y en consecuencia confirmar el fallo atacado.-</w:t>
      </w:r>
    </w:p>
    <w:p>
      <w:pPr>
        <w:pStyle w:val="[Normal]"/>
        <w:spacing w:line="360" w:lineRule="auto"/>
        <w:ind w:firstLine="1134"/>
        <w:jc w:val="both"/>
        <w:rPr>
          <w:color w:val="000000"/>
          <w:lang w:val="es-AR" w:eastAsia="es-AR" w:bidi="es-AR"/>
        </w:rPr>
      </w:pPr>
      <w:r>
        <w:rPr>
          <w:color w:val="000000"/>
          <w:lang w:val="es-AR" w:eastAsia="es-AR" w:bidi="es-AR"/>
        </w:rPr>
        <w:t xml:space="preserve">Costas a la apelante vencida (arts. 68/69 C.P.C.C.).-</w:t>
      </w:r>
    </w:p>
    <w:p>
      <w:pPr>
        <w:pStyle w:val="[Normal]"/>
        <w:spacing w:line="360" w:lineRule="auto"/>
        <w:ind w:firstLine="1134"/>
        <w:jc w:val="both"/>
        <w:rPr>
          <w:b/>
          <w:color w:val="000000"/>
          <w:lang w:val="es-AR" w:eastAsia="es-AR" w:bidi="es-AR"/>
        </w:rPr>
      </w:pPr>
      <w:r>
        <w:rPr>
          <w:b/>
          <w:color w:val="000000"/>
          <w:lang w:val="es-AR" w:eastAsia="es-AR" w:bidi="es-AR"/>
        </w:rPr>
        <w:t xml:space="preserve">ASI LO VOTO. </w:t>
      </w:r>
    </w:p>
    <w:p>
      <w:pPr>
        <w:pStyle w:val="[Normal]"/>
        <w:spacing w:line="360" w:lineRule="auto"/>
        <w:ind w:firstLine="1134"/>
        <w:jc w:val="both"/>
        <w:rPr>
          <w:color w:val="000000"/>
          <w:lang w:val="es-AR" w:eastAsia="es-AR" w:bidi="es-AR"/>
        </w:rPr>
      </w:pPr>
      <w:r>
        <w:rPr>
          <w:color w:val="000000"/>
          <w:lang w:val="es-AR" w:eastAsia="es-AR" w:bidi="es-AR"/>
        </w:rPr>
        <w:t xml:space="preserve">A la misma cuestión los</w:t>
      </w:r>
      <w:r>
        <w:rPr>
          <w:b/>
          <w:color w:val="000000"/>
          <w:lang w:val="es-AR" w:eastAsia="es-AR" w:bidi="es-AR"/>
        </w:rPr>
        <w:t xml:space="preserve"> </w:t>
      </w:r>
      <w:r>
        <w:rPr>
          <w:color w:val="000000"/>
          <w:lang w:val="es-AR" w:eastAsia="es-AR" w:bidi="es-AR"/>
        </w:rPr>
        <w:t xml:space="preserve">Sres. Jueces Bernardo Louise y Graciela Scaraffía.</w:t>
      </w:r>
    </w:p>
    <w:p>
      <w:pPr>
        <w:pStyle w:val="[Normal]"/>
        <w:spacing w:line="360" w:lineRule="auto"/>
        <w:ind w:firstLine="1134"/>
        <w:jc w:val="both"/>
        <w:rPr>
          <w:color w:val="000000"/>
          <w:lang w:val="es-AR" w:eastAsia="es-AR" w:bidi="es-AR"/>
        </w:rPr>
      </w:pPr>
      <w:r>
        <w:rPr>
          <w:color w:val="000000"/>
          <w:lang w:val="es-AR" w:eastAsia="es-AR" w:bidi="es-AR"/>
        </w:rPr>
        <w:t xml:space="preserve">Con lo que terminó el presente Acuerdo, dictándose la siguiente;</w:t>
      </w:r>
    </w:p>
    <w:p>
      <w:pPr>
        <w:pStyle w:val="[Normal]"/>
        <w:spacing w:line="360" w:lineRule="auto"/>
        <w:ind w:firstLine="1134"/>
        <w:jc w:val="both"/>
        <w:rPr>
          <w:color w:val="000000"/>
          <w:lang w:val="es-AR" w:eastAsia="es-AR" w:bidi="es-AR"/>
        </w:rPr>
      </w:pPr>
      <w:r>
        <w:rPr>
          <w:b/>
          <w:color w:val="000000"/>
          <w:u w:val="single"/>
          <w:lang w:val="es-AR" w:eastAsia="es-AR" w:bidi="es-AR"/>
        </w:rPr>
        <w:t xml:space="preserve">S E N T E N C I A:</w:t>
      </w:r>
    </w:p>
    <w:p>
      <w:pPr>
        <w:pStyle w:val="[Normal]"/>
        <w:spacing w:line="360" w:lineRule="auto"/>
        <w:ind w:firstLine="1134"/>
        <w:jc w:val="both"/>
        <w:rPr>
          <w:color w:val="000000"/>
          <w:lang w:val="es-AR" w:eastAsia="es-AR" w:bidi="es-AR"/>
        </w:rPr>
      </w:pPr>
      <w:r>
        <w:rPr>
          <w:color w:val="000000"/>
          <w:lang w:val="es-AR" w:eastAsia="es-AR" w:bidi="es-AR"/>
        </w:rPr>
        <w:t xml:space="preserve">Rechazar el recurso de apelación deducido, y en consecuencia confirmar el fallo atacado.-</w:t>
      </w:r>
    </w:p>
    <w:p>
      <w:pPr>
        <w:pStyle w:val="[Normal]"/>
        <w:spacing w:line="360" w:lineRule="auto"/>
        <w:ind w:firstLine="1134"/>
        <w:jc w:val="both"/>
        <w:rPr>
          <w:color w:val="000000"/>
          <w:lang w:val="es-AR" w:eastAsia="es-AR" w:bidi="es-AR"/>
        </w:rPr>
      </w:pPr>
      <w:r>
        <w:rPr>
          <w:color w:val="000000"/>
          <w:lang w:val="es-AR" w:eastAsia="es-AR" w:bidi="es-AR"/>
        </w:rPr>
        <w:t xml:space="preserve">Costas a la apelante vencida (arts. 68/69 C.P.C.C.).-</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rPr>
          <w:color w:val="000000"/>
          <w:lang w:val="es-AR" w:eastAsia="es-AR" w:bidi="es-AR"/>
        </w:rPr>
      </w:pPr>
      <w:r>
        <w:rPr>
          <w:color w:val="000000"/>
          <w:lang w:val="es-AR" w:eastAsia="es-AR" w:bidi="es-AR"/>
        </w:rPr>
        <w:t xml:space="preserve">23261843439@BAPRO.NOTIFICACIONES</w:t>
      </w:r>
    </w:p>
    <w:p>
      <w:pPr>
        <w:pStyle w:val="[Normal]"/>
        <w:rPr>
          <w:color w:val="000000"/>
          <w:lang w:val="es-AR" w:eastAsia="es-AR" w:bidi="es-AR"/>
        </w:rPr>
      </w:pPr>
    </w:p>
    <w:p>
      <w:pPr>
        <w:pStyle w:val="[Normal]"/>
        <w:rPr>
          <w:color w:val="000000"/>
          <w:lang w:val="es-AR" w:eastAsia="es-AR" w:bidi="es-AR"/>
        </w:rPr>
      </w:pPr>
      <w:r>
        <w:rPr>
          <w:color w:val="000000"/>
          <w:lang w:val="es-AR" w:eastAsia="es-AR" w:bidi="es-AR"/>
        </w:rPr>
        <w:t xml:space="preserve">20083837498@NOTIFICACIONES.SCBA.GOV.AR</w:t>
      </w:r>
    </w:p>
    <w:p>
      <w:pPr>
        <w:pStyle w:val="[Normal]"/>
        <w:rPr>
          <w:color w:val="000000"/>
          <w:lang w:val="es-AR" w:eastAsia="es-AR" w:bidi="es-AR"/>
        </w:rPr>
      </w:pP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05/08/2021 09:25:21 -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05/08/2021 09:37:42 -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05/08/2021 10:06:59 -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05/08/2021 10:29:57 - MOREA Adrian Oscar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20083837498@NOTIFICACIONES.SCBA.GOV.AR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23261843439@BAPRO.NOTIFICACIONES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‰5‚")è%6KèdŠ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219802090005224300</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4280 - 21 - DODDI EDUARDO OSCAR C/ BCO DE LA PCIA DE BS AS  S/ EJECUCION HONORARIOS</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‰5‚")è%6KèdŠ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219802090005224300</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 w:type="paragraph" w:styleId="Normal">
    <w:name w:val="Normal"/>
    <w:next w:val="Normal"/>
    <w:qFormat/>
    <w:pPr>
      <w:widowControl w:val="off"/>
      <w:shd w:val="clear" w:color="auto" w:fill="auto"/>
      <w:spacing w:before="100" w:after="100" w:line="240" w:lineRule="auto"/>
      <w:ind w:left="0" w:right="0" w:firstLine="0"/>
      <w:jc w:val="left"/>
    </w:pPr>
    <w:rPr>
      <w:rFonts w:ascii="Times New Roman" w:hAnsi="Times New Roman" w:eastAsia="Times New Roman" w:cs="Times New Roman"/>
      <w:b w:val="off"/>
      <w:bCs w:val="off"/>
      <w:i w:val="off"/>
      <w:iCs w:val="off"/>
      <w:strike w:val="off"/>
      <w:color w:val="auto"/>
      <w:position w:val="0"/>
      <w:sz w:val="24"/>
      <w:szCs w:val="24"/>
      <w:shd w:val="clear" w:color="auto" w:fill="auto"/>
      <w:rtl w:val="off"/>
      <w:lang w:val="x-none" w:eastAsia="x-none" w:bidi="x-none"/>
    </w:rPr>
  </w:style>
  <w:style w:type="paragraph" w:styleId="Normal (Web)">
    <w:name w:val="Normal (Web)"/>
    <w:basedOn w:val="Normal"/>
    <w:next w:val="Normal (Web)"/>
    <w:qFormat/>
    <w:pPr>
      <w:widowControl w:val="on"/>
    </w:pPr>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